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1DDD" w14:textId="77777777" w:rsidR="00504E54" w:rsidRDefault="00DA73D5" w:rsidP="00DA73D5">
      <w:pPr>
        <w:jc w:val="center"/>
        <w:rPr>
          <w:b/>
          <w:sz w:val="32"/>
          <w:szCs w:val="32"/>
          <w:u w:val="single"/>
          <w:lang w:eastAsia="ja-JP"/>
        </w:rPr>
      </w:pPr>
      <w:r w:rsidRPr="00662FDD">
        <w:rPr>
          <w:b/>
          <w:sz w:val="32"/>
          <w:szCs w:val="32"/>
          <w:u w:val="single"/>
          <w:lang w:eastAsia="ja-JP"/>
        </w:rPr>
        <w:t xml:space="preserve">VCAT Reforms </w:t>
      </w:r>
      <w:r w:rsidR="00D438D0" w:rsidRPr="00662FDD">
        <w:rPr>
          <w:b/>
          <w:sz w:val="32"/>
          <w:szCs w:val="32"/>
          <w:u w:val="single"/>
          <w:lang w:eastAsia="ja-JP"/>
        </w:rPr>
        <w:t>advocated</w:t>
      </w:r>
      <w:r w:rsidRPr="00662FDD">
        <w:rPr>
          <w:b/>
          <w:sz w:val="32"/>
          <w:szCs w:val="32"/>
          <w:u w:val="single"/>
          <w:lang w:eastAsia="ja-JP"/>
        </w:rPr>
        <w:t xml:space="preserve"> by SOS </w:t>
      </w:r>
    </w:p>
    <w:p w14:paraId="04AADD65" w14:textId="77777777" w:rsidR="00E6486C" w:rsidRDefault="00E6486C" w:rsidP="00DA73D5">
      <w:pPr>
        <w:jc w:val="center"/>
        <w:rPr>
          <w:b/>
          <w:sz w:val="32"/>
          <w:szCs w:val="32"/>
          <w:u w:val="single"/>
          <w:lang w:eastAsia="ja-JP"/>
        </w:rPr>
      </w:pPr>
    </w:p>
    <w:p w14:paraId="49211F56" w14:textId="1BC9BFF5" w:rsidR="00DA73D5" w:rsidRPr="00662FDD" w:rsidRDefault="00DA73D5" w:rsidP="00DA73D5">
      <w:pPr>
        <w:jc w:val="center"/>
        <w:rPr>
          <w:b/>
          <w:sz w:val="32"/>
          <w:szCs w:val="32"/>
          <w:u w:val="single"/>
          <w:lang w:eastAsia="ja-JP"/>
        </w:rPr>
      </w:pPr>
      <w:r w:rsidRPr="00662FDD">
        <w:rPr>
          <w:b/>
          <w:sz w:val="32"/>
          <w:szCs w:val="32"/>
          <w:u w:val="single"/>
          <w:lang w:eastAsia="ja-JP"/>
        </w:rPr>
        <w:t>(</w:t>
      </w:r>
      <w:proofErr w:type="gramStart"/>
      <w:r w:rsidR="00662FDD" w:rsidRPr="00504E54">
        <w:rPr>
          <w:b/>
          <w:i/>
          <w:sz w:val="32"/>
          <w:szCs w:val="32"/>
          <w:u w:val="single"/>
          <w:lang w:eastAsia="ja-JP"/>
        </w:rPr>
        <w:t>updated</w:t>
      </w:r>
      <w:proofErr w:type="gramEnd"/>
      <w:r w:rsidR="00662FDD" w:rsidRPr="00504E54">
        <w:rPr>
          <w:b/>
          <w:i/>
          <w:sz w:val="32"/>
          <w:szCs w:val="32"/>
          <w:u w:val="single"/>
          <w:lang w:eastAsia="ja-JP"/>
        </w:rPr>
        <w:t xml:space="preserve"> </w:t>
      </w:r>
      <w:r w:rsidR="004C78A6">
        <w:rPr>
          <w:b/>
          <w:i/>
          <w:sz w:val="32"/>
          <w:szCs w:val="32"/>
          <w:u w:val="single"/>
          <w:lang w:eastAsia="ja-JP"/>
        </w:rPr>
        <w:t>April</w:t>
      </w:r>
      <w:r w:rsidR="00E535B6" w:rsidRPr="00504E54">
        <w:rPr>
          <w:b/>
          <w:i/>
          <w:sz w:val="32"/>
          <w:szCs w:val="32"/>
          <w:u w:val="single"/>
          <w:lang w:eastAsia="ja-JP"/>
        </w:rPr>
        <w:t xml:space="preserve"> 201</w:t>
      </w:r>
      <w:r w:rsidR="00A8324D" w:rsidRPr="00504E54">
        <w:rPr>
          <w:b/>
          <w:i/>
          <w:sz w:val="32"/>
          <w:szCs w:val="32"/>
          <w:u w:val="single"/>
          <w:lang w:eastAsia="ja-JP"/>
        </w:rPr>
        <w:t>5</w:t>
      </w:r>
      <w:r w:rsidR="00CD021B" w:rsidRPr="00662FDD">
        <w:rPr>
          <w:b/>
          <w:sz w:val="32"/>
          <w:szCs w:val="32"/>
          <w:u w:val="single"/>
          <w:lang w:eastAsia="ja-JP"/>
        </w:rPr>
        <w:t>)</w:t>
      </w:r>
    </w:p>
    <w:p w14:paraId="20C06E6E" w14:textId="77777777" w:rsidR="00CD5EA1" w:rsidRDefault="00CD5EA1" w:rsidP="00DA73D5">
      <w:pPr>
        <w:rPr>
          <w:b/>
          <w:lang w:eastAsia="ja-JP"/>
        </w:rPr>
      </w:pPr>
    </w:p>
    <w:p w14:paraId="7EBBD2E3" w14:textId="77777777" w:rsidR="0035068B" w:rsidRPr="00662FDD" w:rsidRDefault="0035068B" w:rsidP="00DA73D5">
      <w:pPr>
        <w:rPr>
          <w:b/>
          <w:lang w:eastAsia="ja-JP"/>
        </w:rPr>
      </w:pPr>
    </w:p>
    <w:p w14:paraId="563A7BA0" w14:textId="0EE7B1D7" w:rsidR="00841AAA" w:rsidRDefault="00DA73D5" w:rsidP="006F1EE5">
      <w:pPr>
        <w:rPr>
          <w:b/>
          <w:lang w:eastAsia="ja-JP"/>
        </w:rPr>
      </w:pPr>
      <w:r w:rsidRPr="00A8324D">
        <w:rPr>
          <w:b/>
          <w:lang w:eastAsia="ja-JP"/>
        </w:rPr>
        <w:t xml:space="preserve">NB:  implementation of most of these reforms </w:t>
      </w:r>
      <w:r w:rsidR="00945D94">
        <w:rPr>
          <w:b/>
          <w:lang w:eastAsia="ja-JP"/>
        </w:rPr>
        <w:t>(1, 2, 3,</w:t>
      </w:r>
      <w:r w:rsidR="00B33D8C" w:rsidRPr="00A8324D">
        <w:rPr>
          <w:b/>
          <w:lang w:eastAsia="ja-JP"/>
        </w:rPr>
        <w:t xml:space="preserve"> 4 </w:t>
      </w:r>
      <w:r w:rsidR="00945D94">
        <w:rPr>
          <w:b/>
          <w:lang w:eastAsia="ja-JP"/>
        </w:rPr>
        <w:t xml:space="preserve">&amp; 5 </w:t>
      </w:r>
      <w:r w:rsidR="00B33D8C" w:rsidRPr="00A8324D">
        <w:rPr>
          <w:b/>
          <w:lang w:eastAsia="ja-JP"/>
        </w:rPr>
        <w:t xml:space="preserve">in particular) </w:t>
      </w:r>
      <w:r w:rsidRPr="00A8324D">
        <w:rPr>
          <w:b/>
          <w:lang w:eastAsia="ja-JP"/>
        </w:rPr>
        <w:t xml:space="preserve">would not only improve the quality of planning outcomes and the </w:t>
      </w:r>
      <w:r w:rsidR="00D438D0" w:rsidRPr="00A8324D">
        <w:rPr>
          <w:b/>
          <w:lang w:eastAsia="ja-JP"/>
        </w:rPr>
        <w:t xml:space="preserve">fair and efficient </w:t>
      </w:r>
      <w:r w:rsidRPr="00A8324D">
        <w:rPr>
          <w:b/>
          <w:lang w:eastAsia="ja-JP"/>
        </w:rPr>
        <w:t xml:space="preserve">administration of justice, but also substantially reduce the number of cases and the duration of hearings in the planning list, thus </w:t>
      </w:r>
      <w:r w:rsidR="00FF705D" w:rsidRPr="00A8324D">
        <w:rPr>
          <w:b/>
          <w:lang w:eastAsia="ja-JP"/>
        </w:rPr>
        <w:t xml:space="preserve">also reducing VCAT costs.  </w:t>
      </w:r>
    </w:p>
    <w:p w14:paraId="62ADB70B" w14:textId="77777777" w:rsidR="00E6486C" w:rsidRPr="00E6486C" w:rsidRDefault="00E6486C" w:rsidP="006F1EE5">
      <w:pPr>
        <w:rPr>
          <w:b/>
          <w:sz w:val="16"/>
          <w:szCs w:val="16"/>
          <w:lang w:eastAsia="ja-JP"/>
        </w:rPr>
      </w:pPr>
    </w:p>
    <w:p w14:paraId="6454D301" w14:textId="3F5395E9" w:rsidR="006F1EE5" w:rsidRPr="00A8324D" w:rsidRDefault="00FF705D" w:rsidP="006F1EE5">
      <w:pPr>
        <w:rPr>
          <w:b/>
          <w:lang w:eastAsia="ja-JP"/>
        </w:rPr>
      </w:pPr>
      <w:r w:rsidRPr="00A8324D">
        <w:rPr>
          <w:b/>
          <w:lang w:eastAsia="ja-JP"/>
        </w:rPr>
        <w:t>The</w:t>
      </w:r>
      <w:r w:rsidR="00DA73D5" w:rsidRPr="00A8324D">
        <w:rPr>
          <w:b/>
          <w:lang w:eastAsia="ja-JP"/>
        </w:rPr>
        <w:t xml:space="preserve"> reforms </w:t>
      </w:r>
      <w:r w:rsidRPr="00A8324D">
        <w:rPr>
          <w:b/>
          <w:lang w:eastAsia="ja-JP"/>
        </w:rPr>
        <w:t xml:space="preserve">below </w:t>
      </w:r>
      <w:r w:rsidR="00DA73D5" w:rsidRPr="00A8324D">
        <w:rPr>
          <w:b/>
          <w:lang w:eastAsia="ja-JP"/>
        </w:rPr>
        <w:t xml:space="preserve">should be </w:t>
      </w:r>
      <w:r w:rsidRPr="00A8324D">
        <w:rPr>
          <w:b/>
          <w:lang w:eastAsia="ja-JP"/>
        </w:rPr>
        <w:t>introduced</w:t>
      </w:r>
      <w:r w:rsidR="00DA73D5" w:rsidRPr="00A8324D">
        <w:rPr>
          <w:b/>
          <w:lang w:eastAsia="ja-JP"/>
        </w:rPr>
        <w:t xml:space="preserve"> </w:t>
      </w:r>
      <w:r w:rsidR="00C3032E" w:rsidRPr="00A8324D">
        <w:rPr>
          <w:b/>
          <w:lang w:eastAsia="ja-JP"/>
        </w:rPr>
        <w:t>because of the</w:t>
      </w:r>
      <w:r w:rsidR="00CD56F6" w:rsidRPr="00A8324D">
        <w:rPr>
          <w:b/>
          <w:lang w:eastAsia="ja-JP"/>
        </w:rPr>
        <w:t>se</w:t>
      </w:r>
      <w:r w:rsidR="00CD021B" w:rsidRPr="00A8324D">
        <w:rPr>
          <w:b/>
          <w:lang w:eastAsia="ja-JP"/>
        </w:rPr>
        <w:t xml:space="preserve"> </w:t>
      </w:r>
      <w:r w:rsidR="00C3032E" w:rsidRPr="00A8324D">
        <w:rPr>
          <w:b/>
          <w:lang w:eastAsia="ja-JP"/>
        </w:rPr>
        <w:t xml:space="preserve">multiple </w:t>
      </w:r>
      <w:r w:rsidR="00CD56F6" w:rsidRPr="00A8324D">
        <w:rPr>
          <w:b/>
          <w:lang w:eastAsia="ja-JP"/>
        </w:rPr>
        <w:t xml:space="preserve">benefits in </w:t>
      </w:r>
      <w:r w:rsidR="00B33D8C" w:rsidRPr="00A8324D">
        <w:rPr>
          <w:b/>
          <w:lang w:eastAsia="ja-JP"/>
        </w:rPr>
        <w:t>efficiency for all parties</w:t>
      </w:r>
      <w:r w:rsidR="00C3032E" w:rsidRPr="00A8324D">
        <w:rPr>
          <w:b/>
          <w:lang w:eastAsia="ja-JP"/>
        </w:rPr>
        <w:t xml:space="preserve">, </w:t>
      </w:r>
      <w:r w:rsidR="00945D94">
        <w:rPr>
          <w:b/>
          <w:lang w:eastAsia="ja-JP"/>
        </w:rPr>
        <w:t>which would also obviate the need for</w:t>
      </w:r>
      <w:r w:rsidRPr="00A8324D">
        <w:rPr>
          <w:b/>
          <w:lang w:eastAsia="ja-JP"/>
        </w:rPr>
        <w:t xml:space="preserve"> </w:t>
      </w:r>
      <w:r w:rsidR="00945D94">
        <w:rPr>
          <w:b/>
          <w:lang w:eastAsia="ja-JP"/>
        </w:rPr>
        <w:t>the</w:t>
      </w:r>
      <w:r w:rsidR="00EC3493">
        <w:rPr>
          <w:b/>
          <w:lang w:eastAsia="ja-JP"/>
        </w:rPr>
        <w:t xml:space="preserve"> current</w:t>
      </w:r>
      <w:r w:rsidR="00945D94">
        <w:rPr>
          <w:b/>
          <w:lang w:eastAsia="ja-JP"/>
        </w:rPr>
        <w:t xml:space="preserve"> </w:t>
      </w:r>
      <w:r w:rsidR="004F77D2">
        <w:rPr>
          <w:b/>
          <w:lang w:eastAsia="ja-JP"/>
        </w:rPr>
        <w:t xml:space="preserve">exorbitant </w:t>
      </w:r>
      <w:r w:rsidR="00EC3493">
        <w:rPr>
          <w:b/>
          <w:lang w:eastAsia="ja-JP"/>
        </w:rPr>
        <w:t>“</w:t>
      </w:r>
      <w:r w:rsidR="00EC3493" w:rsidRPr="00A8324D">
        <w:rPr>
          <w:b/>
          <w:lang w:eastAsia="ja-JP"/>
        </w:rPr>
        <w:t>user-pays</w:t>
      </w:r>
      <w:r w:rsidR="00EC3493">
        <w:rPr>
          <w:b/>
          <w:lang w:eastAsia="ja-JP"/>
        </w:rPr>
        <w:t xml:space="preserve">” </w:t>
      </w:r>
      <w:r w:rsidR="004F77D2">
        <w:rPr>
          <w:b/>
          <w:lang w:eastAsia="ja-JP"/>
        </w:rPr>
        <w:t xml:space="preserve">fees </w:t>
      </w:r>
      <w:r w:rsidR="00E6486C">
        <w:rPr>
          <w:b/>
          <w:lang w:eastAsia="ja-JP"/>
        </w:rPr>
        <w:t>introduced</w:t>
      </w:r>
      <w:r w:rsidR="00945D94">
        <w:rPr>
          <w:b/>
          <w:lang w:eastAsia="ja-JP"/>
        </w:rPr>
        <w:t xml:space="preserve"> </w:t>
      </w:r>
      <w:r w:rsidRPr="00A8324D">
        <w:rPr>
          <w:b/>
          <w:lang w:eastAsia="ja-JP"/>
        </w:rPr>
        <w:t>to meet</w:t>
      </w:r>
      <w:r w:rsidR="00DA73D5" w:rsidRPr="00A8324D">
        <w:rPr>
          <w:b/>
          <w:lang w:eastAsia="ja-JP"/>
        </w:rPr>
        <w:t xml:space="preserve"> </w:t>
      </w:r>
      <w:r w:rsidR="00945D94">
        <w:rPr>
          <w:b/>
          <w:lang w:eastAsia="ja-JP"/>
        </w:rPr>
        <w:t xml:space="preserve">the </w:t>
      </w:r>
      <w:proofErr w:type="gramStart"/>
      <w:r w:rsidR="00945D94">
        <w:rPr>
          <w:b/>
          <w:lang w:eastAsia="ja-JP"/>
        </w:rPr>
        <w:t>unsustainably-</w:t>
      </w:r>
      <w:r w:rsidRPr="00A8324D">
        <w:rPr>
          <w:b/>
          <w:lang w:eastAsia="ja-JP"/>
        </w:rPr>
        <w:t>escalating</w:t>
      </w:r>
      <w:proofErr w:type="gramEnd"/>
      <w:r w:rsidRPr="00A8324D">
        <w:rPr>
          <w:b/>
          <w:lang w:eastAsia="ja-JP"/>
        </w:rPr>
        <w:t xml:space="preserve"> caseload</w:t>
      </w:r>
      <w:r w:rsidR="00D438D0" w:rsidRPr="00A8324D">
        <w:rPr>
          <w:b/>
          <w:lang w:eastAsia="ja-JP"/>
        </w:rPr>
        <w:t xml:space="preserve"> in the VCAT P&amp;E List</w:t>
      </w:r>
      <w:r w:rsidR="00DA73D5" w:rsidRPr="00A8324D">
        <w:rPr>
          <w:b/>
          <w:lang w:eastAsia="ja-JP"/>
        </w:rPr>
        <w:t>.</w:t>
      </w:r>
    </w:p>
    <w:p w14:paraId="6E57D3C4" w14:textId="77777777" w:rsidR="00C00E25" w:rsidRPr="00662FDD" w:rsidRDefault="00C00E25" w:rsidP="006F1EE5">
      <w:pPr>
        <w:rPr>
          <w:b/>
          <w:sz w:val="28"/>
          <w:szCs w:val="28"/>
          <w:lang w:eastAsia="ja-JP"/>
        </w:rPr>
      </w:pPr>
    </w:p>
    <w:p w14:paraId="4B009075" w14:textId="5E95169C" w:rsidR="006F1EE5" w:rsidRPr="000A0363" w:rsidRDefault="006F1EE5" w:rsidP="006F1EE5">
      <w:pPr>
        <w:rPr>
          <w:rFonts w:asciiTheme="majorHAnsi" w:hAnsiTheme="majorHAnsi"/>
          <w:b/>
          <w:lang w:eastAsia="ja-JP"/>
        </w:rPr>
      </w:pPr>
      <w:r w:rsidRPr="000A0363">
        <w:rPr>
          <w:b/>
        </w:rPr>
        <w:t>1</w:t>
      </w:r>
      <w:r w:rsidRPr="000A0363">
        <w:rPr>
          <w:b/>
        </w:rPr>
        <w:tab/>
      </w:r>
      <w:r w:rsidRPr="000A0363">
        <w:rPr>
          <w:rFonts w:asciiTheme="majorHAnsi" w:hAnsiTheme="majorHAnsi"/>
          <w:b/>
          <w:lang w:eastAsia="ja-JP"/>
        </w:rPr>
        <w:tab/>
      </w:r>
      <w:r w:rsidR="002173E2" w:rsidRPr="000A0363">
        <w:rPr>
          <w:b/>
        </w:rPr>
        <w:t xml:space="preserve">VCAT </w:t>
      </w:r>
      <w:r w:rsidR="007D0D35">
        <w:rPr>
          <w:b/>
        </w:rPr>
        <w:t xml:space="preserve">Merits Reviews </w:t>
      </w:r>
      <w:r w:rsidR="00EC3493">
        <w:rPr>
          <w:b/>
        </w:rPr>
        <w:t>should be based on more mandatory planning controls</w:t>
      </w:r>
    </w:p>
    <w:p w14:paraId="01CEC121" w14:textId="77777777" w:rsidR="00FB493E" w:rsidRDefault="00FB493E" w:rsidP="006F1EE5">
      <w:pPr>
        <w:rPr>
          <w:i/>
        </w:rPr>
      </w:pPr>
    </w:p>
    <w:p w14:paraId="423FAB63" w14:textId="224DC87A" w:rsidR="00A242AC" w:rsidRDefault="00EC3493" w:rsidP="006F1EE5">
      <w:pPr>
        <w:rPr>
          <w:i/>
        </w:rPr>
      </w:pPr>
      <w:r w:rsidRPr="00EC3493">
        <w:rPr>
          <w:i/>
        </w:rPr>
        <w:t xml:space="preserve">Most community groups want VCAT to only be able to review Council </w:t>
      </w:r>
      <w:r w:rsidR="00F33B46">
        <w:rPr>
          <w:i/>
        </w:rPr>
        <w:t xml:space="preserve">development application (DA) assessment </w:t>
      </w:r>
      <w:r w:rsidRPr="00EC3493">
        <w:rPr>
          <w:i/>
        </w:rPr>
        <w:t>proces</w:t>
      </w:r>
      <w:r w:rsidR="00F33B46">
        <w:rPr>
          <w:i/>
        </w:rPr>
        <w:t>se</w:t>
      </w:r>
      <w:r w:rsidRPr="00EC3493">
        <w:rPr>
          <w:i/>
        </w:rPr>
        <w:t xml:space="preserve">s, not </w:t>
      </w:r>
      <w:r w:rsidR="00810389">
        <w:rPr>
          <w:i/>
        </w:rPr>
        <w:t xml:space="preserve">to </w:t>
      </w:r>
      <w:r w:rsidRPr="00EC3493">
        <w:rPr>
          <w:i/>
        </w:rPr>
        <w:t>act as the Responsible Authority</w:t>
      </w:r>
      <w:r w:rsidR="00A242AC">
        <w:rPr>
          <w:i/>
        </w:rPr>
        <w:t xml:space="preserve"> by doing </w:t>
      </w:r>
      <w:r w:rsidR="00F33B46">
        <w:rPr>
          <w:i/>
        </w:rPr>
        <w:t xml:space="preserve">full </w:t>
      </w:r>
      <w:r w:rsidR="00A242AC">
        <w:rPr>
          <w:i/>
        </w:rPr>
        <w:t>Merits Reviews</w:t>
      </w:r>
      <w:r w:rsidR="007D0D35">
        <w:rPr>
          <w:i/>
        </w:rPr>
        <w:t xml:space="preserve"> (MR)</w:t>
      </w:r>
      <w:r w:rsidRPr="00EC3493">
        <w:rPr>
          <w:i/>
        </w:rPr>
        <w:t xml:space="preserve">.  However, </w:t>
      </w:r>
      <w:r>
        <w:rPr>
          <w:i/>
        </w:rPr>
        <w:t>u</w:t>
      </w:r>
      <w:r w:rsidR="00384483" w:rsidRPr="00EC3493">
        <w:rPr>
          <w:i/>
        </w:rPr>
        <w:t>nder the present administrative appeals system this</w:t>
      </w:r>
      <w:r w:rsidR="00810389">
        <w:rPr>
          <w:i/>
        </w:rPr>
        <w:t xml:space="preserve"> approach</w:t>
      </w:r>
      <w:r w:rsidR="00384483" w:rsidRPr="00EC3493">
        <w:rPr>
          <w:i/>
        </w:rPr>
        <w:t xml:space="preserve"> would</w:t>
      </w:r>
      <w:r w:rsidR="00384483" w:rsidRPr="000A0363">
        <w:rPr>
          <w:i/>
        </w:rPr>
        <w:t xml:space="preserve"> </w:t>
      </w:r>
      <w:r w:rsidR="00F33B46">
        <w:rPr>
          <w:i/>
        </w:rPr>
        <w:t>involve</w:t>
      </w:r>
      <w:r w:rsidR="00384483" w:rsidRPr="000A0363">
        <w:rPr>
          <w:i/>
        </w:rPr>
        <w:t xml:space="preserve"> a </w:t>
      </w:r>
      <w:r>
        <w:rPr>
          <w:i/>
        </w:rPr>
        <w:t>largely judicial review process -</w:t>
      </w:r>
      <w:r w:rsidR="00384483" w:rsidRPr="000A0363">
        <w:rPr>
          <w:i/>
        </w:rPr>
        <w:t xml:space="preserve"> much more legally abstruse</w:t>
      </w:r>
      <w:r w:rsidR="00F33B46">
        <w:rPr>
          <w:i/>
        </w:rPr>
        <w:t xml:space="preserve"> </w:t>
      </w:r>
      <w:r w:rsidR="00F33B46" w:rsidRPr="000A0363">
        <w:rPr>
          <w:i/>
        </w:rPr>
        <w:t xml:space="preserve">and involving </w:t>
      </w:r>
      <w:r w:rsidR="00202F7C">
        <w:rPr>
          <w:i/>
        </w:rPr>
        <w:t xml:space="preserve">higher levels of evidentiary proof </w:t>
      </w:r>
      <w:r w:rsidR="00F33B46">
        <w:rPr>
          <w:i/>
        </w:rPr>
        <w:t xml:space="preserve">and </w:t>
      </w:r>
      <w:r w:rsidR="00384483" w:rsidRPr="000A0363">
        <w:rPr>
          <w:i/>
        </w:rPr>
        <w:t xml:space="preserve">potential financial </w:t>
      </w:r>
      <w:r w:rsidR="00F33B46">
        <w:rPr>
          <w:i/>
        </w:rPr>
        <w:t>penalties</w:t>
      </w:r>
      <w:r w:rsidR="00384483" w:rsidRPr="000A0363">
        <w:rPr>
          <w:i/>
        </w:rPr>
        <w:t xml:space="preserve">. </w:t>
      </w:r>
    </w:p>
    <w:p w14:paraId="2C229F7C" w14:textId="77777777" w:rsidR="00E6486C" w:rsidRDefault="00E6486C" w:rsidP="00E53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</w:p>
    <w:p w14:paraId="46BBE5C8" w14:textId="540C8F8E" w:rsidR="00E535B6" w:rsidRPr="000A0363" w:rsidRDefault="00E535B6" w:rsidP="00E535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bidi="en-US"/>
        </w:rPr>
      </w:pPr>
      <w:r w:rsidRPr="000A0363">
        <w:rPr>
          <w:i/>
        </w:rPr>
        <w:t>G</w:t>
      </w:r>
      <w:r w:rsidRPr="000A0363">
        <w:rPr>
          <w:i/>
          <w:lang w:bidi="en-US"/>
        </w:rPr>
        <w:t xml:space="preserve">rounds for judicial review may </w:t>
      </w:r>
      <w:r w:rsidR="00202F7C">
        <w:rPr>
          <w:i/>
          <w:lang w:bidi="en-US"/>
        </w:rPr>
        <w:t xml:space="preserve">also </w:t>
      </w:r>
      <w:r w:rsidRPr="000A0363">
        <w:rPr>
          <w:i/>
          <w:lang w:bidi="en-US"/>
        </w:rPr>
        <w:t xml:space="preserve">be hard to identify without a </w:t>
      </w:r>
      <w:r w:rsidR="00202F7C">
        <w:rPr>
          <w:i/>
          <w:lang w:bidi="en-US"/>
        </w:rPr>
        <w:t xml:space="preserve">prior </w:t>
      </w:r>
      <w:r w:rsidR="00F33B46">
        <w:rPr>
          <w:i/>
          <w:lang w:bidi="en-US"/>
        </w:rPr>
        <w:t xml:space="preserve">merits review - </w:t>
      </w:r>
      <w:r w:rsidR="00384483" w:rsidRPr="000A0363">
        <w:rPr>
          <w:i/>
          <w:lang w:bidi="en-US"/>
        </w:rPr>
        <w:t>as long as a council</w:t>
      </w:r>
      <w:r w:rsidR="00580FC6" w:rsidRPr="000A0363">
        <w:rPr>
          <w:i/>
          <w:lang w:bidi="en-US"/>
        </w:rPr>
        <w:t xml:space="preserve"> </w:t>
      </w:r>
      <w:r w:rsidR="00F33B46">
        <w:rPr>
          <w:i/>
          <w:lang w:bidi="en-US"/>
        </w:rPr>
        <w:t xml:space="preserve">could establish that it </w:t>
      </w:r>
      <w:r w:rsidR="00580FC6" w:rsidRPr="000A0363">
        <w:rPr>
          <w:i/>
          <w:lang w:bidi="en-US"/>
        </w:rPr>
        <w:t>had</w:t>
      </w:r>
      <w:r w:rsidR="00384483" w:rsidRPr="000A0363">
        <w:rPr>
          <w:i/>
          <w:lang w:bidi="en-US"/>
        </w:rPr>
        <w:t xml:space="preserve"> considered the </w:t>
      </w:r>
      <w:r w:rsidR="00F33B46">
        <w:rPr>
          <w:i/>
          <w:lang w:bidi="en-US"/>
        </w:rPr>
        <w:t>matters</w:t>
      </w:r>
      <w:r w:rsidR="00384483" w:rsidRPr="000A0363">
        <w:rPr>
          <w:i/>
          <w:lang w:bidi="en-US"/>
        </w:rPr>
        <w:t xml:space="preserve"> required under the Act and the </w:t>
      </w:r>
      <w:r w:rsidR="00202F7C">
        <w:rPr>
          <w:i/>
          <w:lang w:bidi="en-US"/>
        </w:rPr>
        <w:t>relevant P</w:t>
      </w:r>
      <w:r w:rsidR="00384483" w:rsidRPr="000A0363">
        <w:rPr>
          <w:i/>
          <w:lang w:bidi="en-US"/>
        </w:rPr>
        <w:t xml:space="preserve">lanning </w:t>
      </w:r>
      <w:r w:rsidR="00202F7C">
        <w:rPr>
          <w:i/>
          <w:lang w:bidi="en-US"/>
        </w:rPr>
        <w:t>S</w:t>
      </w:r>
      <w:r w:rsidR="00384483" w:rsidRPr="000A0363">
        <w:rPr>
          <w:i/>
          <w:lang w:bidi="en-US"/>
        </w:rPr>
        <w:t>cheme, due process would</w:t>
      </w:r>
      <w:r w:rsidR="00F33B46">
        <w:rPr>
          <w:i/>
          <w:lang w:bidi="en-US"/>
        </w:rPr>
        <w:t>’ve</w:t>
      </w:r>
      <w:r w:rsidR="00384483" w:rsidRPr="000A0363">
        <w:rPr>
          <w:i/>
          <w:lang w:bidi="en-US"/>
        </w:rPr>
        <w:t xml:space="preserve"> </w:t>
      </w:r>
      <w:r w:rsidR="00254C5E" w:rsidRPr="000A0363">
        <w:rPr>
          <w:i/>
          <w:lang w:bidi="en-US"/>
        </w:rPr>
        <w:t>be</w:t>
      </w:r>
      <w:r w:rsidR="00F33B46">
        <w:rPr>
          <w:i/>
          <w:lang w:bidi="en-US"/>
        </w:rPr>
        <w:t>en</w:t>
      </w:r>
      <w:r w:rsidR="00384483" w:rsidRPr="000A0363">
        <w:rPr>
          <w:i/>
          <w:lang w:bidi="en-US"/>
        </w:rPr>
        <w:t xml:space="preserve"> complied with</w:t>
      </w:r>
      <w:r w:rsidR="00810389">
        <w:rPr>
          <w:i/>
          <w:lang w:bidi="en-US"/>
        </w:rPr>
        <w:t>.  J</w:t>
      </w:r>
      <w:r w:rsidR="00F33B46" w:rsidRPr="000A0363">
        <w:rPr>
          <w:i/>
          <w:lang w:bidi="en-US"/>
        </w:rPr>
        <w:t>udicial review</w:t>
      </w:r>
      <w:r w:rsidR="00F33B46">
        <w:rPr>
          <w:i/>
          <w:lang w:bidi="en-US"/>
        </w:rPr>
        <w:t xml:space="preserve"> would ignore the fundamental issue of </w:t>
      </w:r>
      <w:r w:rsidR="00F33B46" w:rsidRPr="000A0363">
        <w:rPr>
          <w:i/>
          <w:lang w:bidi="en-US"/>
        </w:rPr>
        <w:t>the integrity and transparency of the exercise of discretion</w:t>
      </w:r>
      <w:r w:rsidR="00F33B46">
        <w:rPr>
          <w:i/>
          <w:lang w:bidi="en-US"/>
        </w:rPr>
        <w:t xml:space="preserve"> and the quality and degree of compliance of actual planning outcome</w:t>
      </w:r>
      <w:r w:rsidR="00810389">
        <w:rPr>
          <w:i/>
          <w:lang w:bidi="en-US"/>
        </w:rPr>
        <w:t>s</w:t>
      </w:r>
      <w:r w:rsidR="00384483" w:rsidRPr="000A0363">
        <w:rPr>
          <w:i/>
          <w:lang w:bidi="en-US"/>
        </w:rPr>
        <w:t xml:space="preserve">. VAGO </w:t>
      </w:r>
      <w:r w:rsidR="00202F7C">
        <w:rPr>
          <w:i/>
          <w:lang w:bidi="en-US"/>
        </w:rPr>
        <w:t xml:space="preserve">(the Victorian Auditor-General’s Office) </w:t>
      </w:r>
      <w:r w:rsidR="00254C5E" w:rsidRPr="000A0363">
        <w:rPr>
          <w:i/>
          <w:lang w:bidi="en-US"/>
        </w:rPr>
        <w:t>has</w:t>
      </w:r>
      <w:r w:rsidR="00384483" w:rsidRPr="000A0363">
        <w:rPr>
          <w:i/>
          <w:lang w:bidi="en-US"/>
        </w:rPr>
        <w:t xml:space="preserve"> </w:t>
      </w:r>
      <w:r w:rsidR="007D0D35">
        <w:rPr>
          <w:i/>
          <w:lang w:bidi="en-US"/>
        </w:rPr>
        <w:t>confirmed</w:t>
      </w:r>
      <w:r w:rsidR="00384483" w:rsidRPr="000A0363">
        <w:rPr>
          <w:i/>
          <w:lang w:bidi="en-US"/>
        </w:rPr>
        <w:t xml:space="preserve"> many </w:t>
      </w:r>
      <w:r w:rsidR="00810389">
        <w:rPr>
          <w:i/>
          <w:lang w:bidi="en-US"/>
        </w:rPr>
        <w:t>flaws</w:t>
      </w:r>
      <w:r w:rsidR="00384483" w:rsidRPr="000A0363">
        <w:rPr>
          <w:i/>
          <w:lang w:bidi="en-US"/>
        </w:rPr>
        <w:t xml:space="preserve"> with </w:t>
      </w:r>
      <w:r w:rsidR="000A0363">
        <w:rPr>
          <w:i/>
          <w:lang w:bidi="en-US"/>
        </w:rPr>
        <w:t>the way councils follow</w:t>
      </w:r>
      <w:r w:rsidR="00384483" w:rsidRPr="000A0363">
        <w:rPr>
          <w:i/>
          <w:lang w:bidi="en-US"/>
        </w:rPr>
        <w:t xml:space="preserve"> statutory</w:t>
      </w:r>
      <w:r w:rsidR="00202F7C">
        <w:rPr>
          <w:i/>
          <w:lang w:bidi="en-US"/>
        </w:rPr>
        <w:t xml:space="preserve"> requirements</w:t>
      </w:r>
      <w:r w:rsidR="007D0D35">
        <w:rPr>
          <w:i/>
          <w:lang w:bidi="en-US"/>
        </w:rPr>
        <w:t xml:space="preserve"> </w:t>
      </w:r>
      <w:r w:rsidR="007D0D35" w:rsidRPr="00FB493E">
        <w:rPr>
          <w:b/>
          <w:i/>
          <w:lang w:bidi="en-US"/>
        </w:rPr>
        <w:t>(</w:t>
      </w:r>
      <w:r w:rsidR="00FB493E" w:rsidRPr="00FB493E">
        <w:rPr>
          <w:b/>
          <w:i/>
          <w:lang w:bidi="en-US"/>
        </w:rPr>
        <w:t>R</w:t>
      </w:r>
      <w:r w:rsidR="007D0D35" w:rsidRPr="00FB493E">
        <w:rPr>
          <w:b/>
          <w:i/>
          <w:lang w:bidi="en-US"/>
        </w:rPr>
        <w:t>ef. 9)</w:t>
      </w:r>
      <w:r w:rsidR="008333D7" w:rsidRPr="00FB493E">
        <w:rPr>
          <w:b/>
          <w:i/>
          <w:lang w:bidi="en-US"/>
        </w:rPr>
        <w:t>.</w:t>
      </w:r>
    </w:p>
    <w:p w14:paraId="474D2380" w14:textId="77777777" w:rsidR="00E6486C" w:rsidRDefault="00E6486C" w:rsidP="00EC3493">
      <w:pPr>
        <w:rPr>
          <w:i/>
        </w:rPr>
      </w:pPr>
    </w:p>
    <w:p w14:paraId="3D72497A" w14:textId="02D38792" w:rsidR="007D0D35" w:rsidRDefault="007D0D35" w:rsidP="00EC3493">
      <w:pPr>
        <w:rPr>
          <w:i/>
        </w:rPr>
      </w:pPr>
      <w:r>
        <w:rPr>
          <w:i/>
        </w:rPr>
        <w:t>MR</w:t>
      </w:r>
      <w:r w:rsidR="00420E47" w:rsidRPr="000A0363">
        <w:rPr>
          <w:i/>
        </w:rPr>
        <w:t xml:space="preserve"> </w:t>
      </w:r>
      <w:r>
        <w:rPr>
          <w:i/>
        </w:rPr>
        <w:t xml:space="preserve">also </w:t>
      </w:r>
      <w:r w:rsidR="00420E47" w:rsidRPr="000A0363">
        <w:rPr>
          <w:i/>
        </w:rPr>
        <w:t>lie</w:t>
      </w:r>
      <w:r>
        <w:rPr>
          <w:i/>
        </w:rPr>
        <w:t>s</w:t>
      </w:r>
      <w:r w:rsidR="00420E47" w:rsidRPr="000A0363">
        <w:rPr>
          <w:i/>
        </w:rPr>
        <w:t xml:space="preserve"> at the heart of the administrative </w:t>
      </w:r>
      <w:r>
        <w:rPr>
          <w:i/>
        </w:rPr>
        <w:t>appeals</w:t>
      </w:r>
      <w:r w:rsidR="00420E47" w:rsidRPr="000A0363">
        <w:rPr>
          <w:i/>
        </w:rPr>
        <w:t xml:space="preserve"> system since it was established in the 1970</w:t>
      </w:r>
      <w:r>
        <w:rPr>
          <w:i/>
        </w:rPr>
        <w:t>s so it will be difficult to dis</w:t>
      </w:r>
      <w:r w:rsidR="00420E47" w:rsidRPr="000A0363">
        <w:rPr>
          <w:i/>
        </w:rPr>
        <w:t xml:space="preserve">suade </w:t>
      </w:r>
      <w:proofErr w:type="gramStart"/>
      <w:r w:rsidR="00420E47" w:rsidRPr="000A0363">
        <w:rPr>
          <w:i/>
        </w:rPr>
        <w:t>law-makers</w:t>
      </w:r>
      <w:proofErr w:type="gramEnd"/>
      <w:r w:rsidR="00420E47" w:rsidRPr="000A0363">
        <w:rPr>
          <w:i/>
        </w:rPr>
        <w:t xml:space="preserve"> </w:t>
      </w:r>
      <w:r>
        <w:rPr>
          <w:i/>
        </w:rPr>
        <w:t>from</w:t>
      </w:r>
      <w:r w:rsidR="001501B5" w:rsidRPr="000A0363">
        <w:rPr>
          <w:i/>
        </w:rPr>
        <w:t xml:space="preserve"> </w:t>
      </w:r>
      <w:r>
        <w:rPr>
          <w:i/>
        </w:rPr>
        <w:t>maintaining a</w:t>
      </w:r>
      <w:r w:rsidR="00810389">
        <w:rPr>
          <w:i/>
        </w:rPr>
        <w:t xml:space="preserve">n avenue of redress against the often </w:t>
      </w:r>
      <w:r>
        <w:rPr>
          <w:i/>
        </w:rPr>
        <w:t>flawed decisions of local government bodies</w:t>
      </w:r>
      <w:r w:rsidR="00420E47" w:rsidRPr="000A0363">
        <w:rPr>
          <w:i/>
        </w:rPr>
        <w:t xml:space="preserve">.  </w:t>
      </w:r>
    </w:p>
    <w:p w14:paraId="7557BBF7" w14:textId="77777777" w:rsidR="00E6486C" w:rsidRDefault="00E6486C" w:rsidP="00EC3493">
      <w:pPr>
        <w:rPr>
          <w:i/>
        </w:rPr>
      </w:pPr>
    </w:p>
    <w:p w14:paraId="7C8FCF9F" w14:textId="2A41B47B" w:rsidR="00F33B46" w:rsidRDefault="00254C5E" w:rsidP="00EC3493">
      <w:pPr>
        <w:rPr>
          <w:i/>
        </w:rPr>
      </w:pPr>
      <w:r w:rsidRPr="000A0363">
        <w:rPr>
          <w:i/>
        </w:rPr>
        <w:t>P</w:t>
      </w:r>
      <w:r w:rsidR="00420E47" w:rsidRPr="000A0363">
        <w:rPr>
          <w:i/>
        </w:rPr>
        <w:t xml:space="preserve">art of the intent of MR was </w:t>
      </w:r>
      <w:r w:rsidR="007D0D35">
        <w:rPr>
          <w:i/>
        </w:rPr>
        <w:t xml:space="preserve">also </w:t>
      </w:r>
      <w:r w:rsidR="00420E47" w:rsidRPr="000A0363">
        <w:rPr>
          <w:i/>
        </w:rPr>
        <w:t>to indirectly improve the decision-making processes of gov</w:t>
      </w:r>
      <w:r w:rsidR="00046DD1" w:rsidRPr="000A0363">
        <w:rPr>
          <w:i/>
        </w:rPr>
        <w:t>ernmen</w:t>
      </w:r>
      <w:r w:rsidR="00420E47" w:rsidRPr="000A0363">
        <w:rPr>
          <w:i/>
        </w:rPr>
        <w:t>t a</w:t>
      </w:r>
      <w:r w:rsidRPr="000A0363">
        <w:rPr>
          <w:i/>
        </w:rPr>
        <w:t>uthorities - this</w:t>
      </w:r>
      <w:r w:rsidR="001501B5" w:rsidRPr="000A0363">
        <w:rPr>
          <w:i/>
        </w:rPr>
        <w:t xml:space="preserve"> has clearly failed </w:t>
      </w:r>
      <w:r w:rsidR="00420E47" w:rsidRPr="000A0363">
        <w:rPr>
          <w:i/>
        </w:rPr>
        <w:t>in town planning</w:t>
      </w:r>
      <w:r w:rsidR="001501B5" w:rsidRPr="000A0363">
        <w:rPr>
          <w:i/>
        </w:rPr>
        <w:t xml:space="preserve">, even arguably </w:t>
      </w:r>
      <w:r w:rsidR="00A10F45" w:rsidRPr="000A0363">
        <w:rPr>
          <w:i/>
        </w:rPr>
        <w:t>causing</w:t>
      </w:r>
      <w:r w:rsidR="001501B5" w:rsidRPr="000A0363">
        <w:rPr>
          <w:i/>
        </w:rPr>
        <w:t xml:space="preserve"> the opposite by </w:t>
      </w:r>
      <w:r w:rsidR="009834A2" w:rsidRPr="000A0363">
        <w:rPr>
          <w:i/>
        </w:rPr>
        <w:t>encouraging</w:t>
      </w:r>
      <w:r w:rsidR="001501B5" w:rsidRPr="000A0363">
        <w:rPr>
          <w:i/>
        </w:rPr>
        <w:t xml:space="preserve"> councils to “second-guess” the Tribunal </w:t>
      </w:r>
      <w:r w:rsidR="007D0D35">
        <w:rPr>
          <w:i/>
        </w:rPr>
        <w:t>in</w:t>
      </w:r>
      <w:r w:rsidR="001501B5" w:rsidRPr="000A0363">
        <w:rPr>
          <w:i/>
        </w:rPr>
        <w:t xml:space="preserve"> tak</w:t>
      </w:r>
      <w:r w:rsidRPr="000A0363">
        <w:rPr>
          <w:i/>
        </w:rPr>
        <w:t>ing</w:t>
      </w:r>
      <w:r w:rsidR="001501B5" w:rsidRPr="000A0363">
        <w:rPr>
          <w:i/>
        </w:rPr>
        <w:t xml:space="preserve"> a weak approach to implementing discretionary </w:t>
      </w:r>
      <w:r w:rsidR="00A10F45" w:rsidRPr="000A0363">
        <w:rPr>
          <w:i/>
        </w:rPr>
        <w:t xml:space="preserve">local </w:t>
      </w:r>
      <w:r w:rsidR="001501B5" w:rsidRPr="000A0363">
        <w:rPr>
          <w:i/>
        </w:rPr>
        <w:t>policies</w:t>
      </w:r>
      <w:r w:rsidR="00420E47" w:rsidRPr="000A0363">
        <w:rPr>
          <w:i/>
        </w:rPr>
        <w:t xml:space="preserve">. </w:t>
      </w:r>
      <w:r w:rsidR="001501B5" w:rsidRPr="000A0363">
        <w:rPr>
          <w:i/>
        </w:rPr>
        <w:t xml:space="preserve">If VCAT were required to take a stronger and more consistent stance on upholding </w:t>
      </w:r>
      <w:r w:rsidR="00124DCB" w:rsidRPr="000A0363">
        <w:rPr>
          <w:i/>
        </w:rPr>
        <w:t>policy (</w:t>
      </w:r>
      <w:r w:rsidR="001501B5" w:rsidRPr="000A0363">
        <w:rPr>
          <w:i/>
        </w:rPr>
        <w:t>local policy</w:t>
      </w:r>
      <w:r w:rsidR="00124DCB" w:rsidRPr="000A0363">
        <w:rPr>
          <w:i/>
        </w:rPr>
        <w:t xml:space="preserve"> in particular – </w:t>
      </w:r>
      <w:r w:rsidR="000434C6">
        <w:rPr>
          <w:i/>
        </w:rPr>
        <w:t xml:space="preserve">see </w:t>
      </w:r>
      <w:r w:rsidR="008306D2" w:rsidRPr="000A0363">
        <w:rPr>
          <w:i/>
        </w:rPr>
        <w:t>p</w:t>
      </w:r>
      <w:r w:rsidR="00124DCB" w:rsidRPr="000A0363">
        <w:rPr>
          <w:i/>
        </w:rPr>
        <w:t>oin</w:t>
      </w:r>
      <w:r w:rsidR="008306D2" w:rsidRPr="000A0363">
        <w:rPr>
          <w:i/>
        </w:rPr>
        <w:t>t</w:t>
      </w:r>
      <w:r w:rsidR="00124DCB" w:rsidRPr="000A0363">
        <w:rPr>
          <w:i/>
        </w:rPr>
        <w:t xml:space="preserve"> </w:t>
      </w:r>
      <w:r w:rsidR="008306D2" w:rsidRPr="000A0363">
        <w:rPr>
          <w:i/>
        </w:rPr>
        <w:t>5)</w:t>
      </w:r>
      <w:r w:rsidR="001501B5" w:rsidRPr="000A0363">
        <w:rPr>
          <w:i/>
        </w:rPr>
        <w:t xml:space="preserve">, that </w:t>
      </w:r>
      <w:r w:rsidR="00A10F45" w:rsidRPr="000A0363">
        <w:rPr>
          <w:i/>
        </w:rPr>
        <w:t>situation</w:t>
      </w:r>
      <w:r w:rsidR="001501B5" w:rsidRPr="000A0363">
        <w:rPr>
          <w:i/>
        </w:rPr>
        <w:t xml:space="preserve"> would </w:t>
      </w:r>
      <w:r w:rsidR="008306D2" w:rsidRPr="000A0363">
        <w:rPr>
          <w:i/>
        </w:rPr>
        <w:t>cease or even</w:t>
      </w:r>
      <w:r w:rsidR="001501B5" w:rsidRPr="000A0363">
        <w:rPr>
          <w:i/>
        </w:rPr>
        <w:t xml:space="preserve"> </w:t>
      </w:r>
      <w:r w:rsidR="008306D2" w:rsidRPr="000A0363">
        <w:rPr>
          <w:i/>
        </w:rPr>
        <w:t xml:space="preserve">be </w:t>
      </w:r>
      <w:r w:rsidR="001501B5" w:rsidRPr="000A0363">
        <w:rPr>
          <w:i/>
        </w:rPr>
        <w:t>rev</w:t>
      </w:r>
      <w:r w:rsidR="008306D2" w:rsidRPr="000A0363">
        <w:rPr>
          <w:i/>
        </w:rPr>
        <w:t>ersed</w:t>
      </w:r>
      <w:r w:rsidR="006904C1" w:rsidRPr="000A0363">
        <w:rPr>
          <w:i/>
        </w:rPr>
        <w:t>, in line with the original intent of the MR system</w:t>
      </w:r>
      <w:r w:rsidR="001501B5" w:rsidRPr="000A0363">
        <w:rPr>
          <w:i/>
        </w:rPr>
        <w:t>.</w:t>
      </w:r>
    </w:p>
    <w:p w14:paraId="41D2E419" w14:textId="77777777" w:rsidR="00E6486C" w:rsidRDefault="00E6486C" w:rsidP="0034016F">
      <w:pPr>
        <w:rPr>
          <w:i/>
        </w:rPr>
      </w:pPr>
    </w:p>
    <w:p w14:paraId="47443E77" w14:textId="0306784C" w:rsidR="008D5351" w:rsidRDefault="00810389" w:rsidP="0034016F">
      <w:pPr>
        <w:rPr>
          <w:b/>
        </w:rPr>
      </w:pPr>
      <w:r>
        <w:rPr>
          <w:i/>
        </w:rPr>
        <w:t>So</w:t>
      </w:r>
      <w:r w:rsidR="00F33B46" w:rsidRPr="000A0363">
        <w:rPr>
          <w:i/>
        </w:rPr>
        <w:t xml:space="preserve"> it is crucial that VCAT have some capacity for oversight and remedial action to deal with flawed local government DA assessment processes.  </w:t>
      </w:r>
      <w:r w:rsidR="00F33B46">
        <w:rPr>
          <w:i/>
          <w:lang w:bidi="en-US"/>
        </w:rPr>
        <w:t xml:space="preserve">The simplest solution </w:t>
      </w:r>
      <w:r>
        <w:rPr>
          <w:i/>
          <w:lang w:bidi="en-US"/>
        </w:rPr>
        <w:t>appears to be to simply make</w:t>
      </w:r>
      <w:r w:rsidR="00F33B46" w:rsidRPr="000A0363">
        <w:rPr>
          <w:i/>
          <w:lang w:bidi="en-US"/>
        </w:rPr>
        <w:t xml:space="preserve"> most </w:t>
      </w:r>
      <w:r w:rsidR="000434C6">
        <w:rPr>
          <w:i/>
          <w:lang w:bidi="en-US"/>
        </w:rPr>
        <w:t xml:space="preserve">current </w:t>
      </w:r>
      <w:r w:rsidR="00F33B46" w:rsidRPr="000A0363">
        <w:rPr>
          <w:i/>
          <w:lang w:bidi="en-US"/>
        </w:rPr>
        <w:t>planning controls mandatory (</w:t>
      </w:r>
      <w:proofErr w:type="spellStart"/>
      <w:r w:rsidR="00F33B46" w:rsidRPr="000A0363">
        <w:rPr>
          <w:i/>
          <w:lang w:bidi="en-US"/>
        </w:rPr>
        <w:t>eg</w:t>
      </w:r>
      <w:proofErr w:type="spellEnd"/>
      <w:r w:rsidR="00F33B46" w:rsidRPr="000A0363">
        <w:rPr>
          <w:i/>
          <w:lang w:bidi="en-US"/>
        </w:rPr>
        <w:t xml:space="preserve">, </w:t>
      </w:r>
      <w:proofErr w:type="spellStart"/>
      <w:r w:rsidR="00F33B46" w:rsidRPr="000A0363">
        <w:rPr>
          <w:i/>
          <w:lang w:bidi="en-US"/>
        </w:rPr>
        <w:t>Rescode</w:t>
      </w:r>
      <w:proofErr w:type="spellEnd"/>
      <w:r w:rsidR="00F33B46">
        <w:rPr>
          <w:i/>
          <w:lang w:bidi="en-US"/>
        </w:rPr>
        <w:t>,</w:t>
      </w:r>
      <w:r w:rsidR="00F33B46" w:rsidRPr="000A0363">
        <w:rPr>
          <w:i/>
          <w:lang w:bidi="en-US"/>
        </w:rPr>
        <w:t xml:space="preserve"> </w:t>
      </w:r>
      <w:r w:rsidR="00F33B46">
        <w:rPr>
          <w:i/>
          <w:lang w:bidi="en-US"/>
        </w:rPr>
        <w:t xml:space="preserve">zone and </w:t>
      </w:r>
      <w:r w:rsidR="00F33B46" w:rsidRPr="000A0363">
        <w:rPr>
          <w:i/>
          <w:lang w:bidi="en-US"/>
        </w:rPr>
        <w:t>overlay standards), greatly reducing the need for the exercise of discretion.</w:t>
      </w:r>
      <w:r w:rsidR="00F33B46" w:rsidRPr="000A0363">
        <w:rPr>
          <w:i/>
        </w:rPr>
        <w:t xml:space="preserve"> </w:t>
      </w:r>
      <w:r>
        <w:rPr>
          <w:i/>
        </w:rPr>
        <w:t xml:space="preserve">  MR would be retained, but </w:t>
      </w:r>
      <w:r w:rsidR="00EC3493">
        <w:rPr>
          <w:i/>
        </w:rPr>
        <w:t xml:space="preserve">on the </w:t>
      </w:r>
      <w:r>
        <w:rPr>
          <w:i/>
        </w:rPr>
        <w:t>proviso</w:t>
      </w:r>
      <w:r w:rsidR="00EC3493">
        <w:rPr>
          <w:i/>
        </w:rPr>
        <w:t xml:space="preserve"> that</w:t>
      </w:r>
      <w:r w:rsidR="00254C5E" w:rsidRPr="000A0363">
        <w:rPr>
          <w:i/>
        </w:rPr>
        <w:t xml:space="preserve"> more mandatory planning controls</w:t>
      </w:r>
      <w:r w:rsidR="00202F7C">
        <w:rPr>
          <w:i/>
        </w:rPr>
        <w:t xml:space="preserve"> </w:t>
      </w:r>
      <w:r w:rsidR="00EC3493">
        <w:rPr>
          <w:i/>
        </w:rPr>
        <w:t>are introduced</w:t>
      </w:r>
      <w:r w:rsidR="000434C6">
        <w:rPr>
          <w:i/>
        </w:rPr>
        <w:t xml:space="preserve"> (with allowance for specific, clearly delineated exceptions). </w:t>
      </w:r>
      <w:r w:rsidR="00EC3493">
        <w:rPr>
          <w:i/>
        </w:rPr>
        <w:t xml:space="preserve"> This </w:t>
      </w:r>
      <w:r w:rsidR="00202F7C" w:rsidRPr="000A0363">
        <w:rPr>
          <w:i/>
        </w:rPr>
        <w:t>would</w:t>
      </w:r>
      <w:r w:rsidR="00EC3493">
        <w:rPr>
          <w:i/>
        </w:rPr>
        <w:t xml:space="preserve"> </w:t>
      </w:r>
      <w:r>
        <w:rPr>
          <w:i/>
        </w:rPr>
        <w:t xml:space="preserve">eliminate most of the “gaming” of the planning regime that speculative developers indulge in currently – </w:t>
      </w:r>
      <w:proofErr w:type="spellStart"/>
      <w:r>
        <w:rPr>
          <w:i/>
        </w:rPr>
        <w:t>eg</w:t>
      </w:r>
      <w:proofErr w:type="spellEnd"/>
      <w:r>
        <w:rPr>
          <w:i/>
        </w:rPr>
        <w:t>, ambit claims at VCAT</w:t>
      </w:r>
      <w:r w:rsidR="000434C6">
        <w:rPr>
          <w:i/>
        </w:rPr>
        <w:t xml:space="preserve"> (see point 3)</w:t>
      </w:r>
      <w:r>
        <w:rPr>
          <w:i/>
        </w:rPr>
        <w:t>, “flipping” development sites for quick windfall profits, etc</w:t>
      </w:r>
      <w:r w:rsidR="00EC3493">
        <w:rPr>
          <w:i/>
        </w:rPr>
        <w:t>.</w:t>
      </w:r>
    </w:p>
    <w:p w14:paraId="5285662D" w14:textId="77777777" w:rsidR="00E6486C" w:rsidRDefault="00E6486C" w:rsidP="00810389">
      <w:pPr>
        <w:rPr>
          <w:i/>
        </w:rPr>
      </w:pPr>
    </w:p>
    <w:p w14:paraId="48EB6B28" w14:textId="25AFCF40" w:rsidR="00810389" w:rsidRPr="008306D2" w:rsidRDefault="00810389" w:rsidP="00810389">
      <w:pPr>
        <w:rPr>
          <w:i/>
          <w:lang w:bidi="en-US"/>
        </w:rPr>
      </w:pPr>
      <w:r>
        <w:rPr>
          <w:i/>
        </w:rPr>
        <w:lastRenderedPageBreak/>
        <w:t>Mandatory siting controls</w:t>
      </w:r>
      <w:r w:rsidR="00EC3493" w:rsidRPr="000A0363">
        <w:rPr>
          <w:i/>
        </w:rPr>
        <w:t xml:space="preserve"> would </w:t>
      </w:r>
      <w:r>
        <w:rPr>
          <w:i/>
        </w:rPr>
        <w:t>greatly improve the consistency of</w:t>
      </w:r>
      <w:r w:rsidR="00EC3493" w:rsidRPr="000A0363">
        <w:rPr>
          <w:i/>
        </w:rPr>
        <w:t xml:space="preserve"> the decision-making process, reducing the number of appeals and the workload of both councils and VCAT, as well as improving the quality of decisions and providing more accountability</w:t>
      </w:r>
      <w:r>
        <w:rPr>
          <w:i/>
        </w:rPr>
        <w:t>, quicker decisions</w:t>
      </w:r>
      <w:r w:rsidR="00EC3493" w:rsidRPr="000A0363">
        <w:rPr>
          <w:i/>
        </w:rPr>
        <w:t xml:space="preserve"> and greater certainty for all parties - a </w:t>
      </w:r>
      <w:r>
        <w:rPr>
          <w:i/>
        </w:rPr>
        <w:t xml:space="preserve">much </w:t>
      </w:r>
      <w:r w:rsidR="00EC3493" w:rsidRPr="000A0363">
        <w:rPr>
          <w:i/>
        </w:rPr>
        <w:t>more efficient and effective system.</w:t>
      </w:r>
      <w:r>
        <w:rPr>
          <w:i/>
        </w:rPr>
        <w:t xml:space="preserve">  (S</w:t>
      </w:r>
      <w:r w:rsidRPr="000A0363">
        <w:rPr>
          <w:i/>
        </w:rPr>
        <w:t>ee point 4</w:t>
      </w:r>
      <w:r>
        <w:rPr>
          <w:i/>
        </w:rPr>
        <w:t>)</w:t>
      </w:r>
      <w:r w:rsidRPr="000A0363">
        <w:rPr>
          <w:i/>
        </w:rPr>
        <w:t>.</w:t>
      </w:r>
      <w:r w:rsidR="00E6486C">
        <w:rPr>
          <w:i/>
        </w:rPr>
        <w:t xml:space="preserve">     </w:t>
      </w:r>
      <w:r w:rsidRPr="000A0363">
        <w:rPr>
          <w:i/>
        </w:rPr>
        <w:t xml:space="preserve"> </w:t>
      </w:r>
      <w:r w:rsidRPr="007D0D35">
        <w:rPr>
          <w:b/>
          <w:i/>
        </w:rPr>
        <w:t>(</w:t>
      </w:r>
      <w:r w:rsidR="00E6486C">
        <w:rPr>
          <w:b/>
          <w:i/>
        </w:rPr>
        <w:t>R</w:t>
      </w:r>
      <w:r w:rsidRPr="007D0D35">
        <w:rPr>
          <w:b/>
          <w:i/>
        </w:rPr>
        <w:t>efs. 8, 9, 17)</w:t>
      </w:r>
    </w:p>
    <w:p w14:paraId="70C0F547" w14:textId="77777777" w:rsidR="00EC3493" w:rsidRDefault="00EC3493" w:rsidP="0034016F">
      <w:pPr>
        <w:rPr>
          <w:b/>
        </w:rPr>
      </w:pPr>
    </w:p>
    <w:p w14:paraId="426B790F" w14:textId="7EBE01E4" w:rsidR="00DE1E98" w:rsidRDefault="00C00E25" w:rsidP="00DE1E98">
      <w:pPr>
        <w:rPr>
          <w:b/>
        </w:rPr>
      </w:pPr>
      <w:r>
        <w:rPr>
          <w:b/>
        </w:rPr>
        <w:t>2</w:t>
      </w:r>
      <w:r w:rsidR="00DE1E98" w:rsidRPr="00900728">
        <w:rPr>
          <w:b/>
        </w:rPr>
        <w:tab/>
      </w:r>
      <w:r w:rsidR="00DE1E98">
        <w:rPr>
          <w:b/>
        </w:rPr>
        <w:tab/>
        <w:t>Restore affordable and equitable access to VCAT by reversing the June 201</w:t>
      </w:r>
      <w:r>
        <w:rPr>
          <w:b/>
        </w:rPr>
        <w:t>3</w:t>
      </w:r>
      <w:r w:rsidR="00DE1E98">
        <w:rPr>
          <w:b/>
        </w:rPr>
        <w:t xml:space="preserve"> VCAT appeal fee rises and substitute these with (10% + CPI) maximum rises, recognizing that implementation of many of the other reforms </w:t>
      </w:r>
      <w:r w:rsidR="001D27B9">
        <w:rPr>
          <w:b/>
        </w:rPr>
        <w:t>suggested in this document would</w:t>
      </w:r>
      <w:r w:rsidR="00DE1E98">
        <w:rPr>
          <w:b/>
        </w:rPr>
        <w:t xml:space="preserve"> substantially reduce VCAT overheads, party costs and delays.</w:t>
      </w:r>
    </w:p>
    <w:p w14:paraId="73D3B114" w14:textId="77777777" w:rsidR="00FB493E" w:rsidRDefault="00FB493E" w:rsidP="0034016F">
      <w:pPr>
        <w:rPr>
          <w:i/>
        </w:rPr>
      </w:pPr>
    </w:p>
    <w:p w14:paraId="26EE6310" w14:textId="795F2178" w:rsidR="004F77D2" w:rsidRPr="00720CFB" w:rsidRDefault="004F77D2" w:rsidP="0034016F">
      <w:pPr>
        <w:rPr>
          <w:i/>
        </w:rPr>
      </w:pPr>
      <w:r w:rsidRPr="00720CFB">
        <w:rPr>
          <w:i/>
        </w:rPr>
        <w:t>These</w:t>
      </w:r>
      <w:r w:rsidR="00841AAA">
        <w:rPr>
          <w:i/>
        </w:rPr>
        <w:t xml:space="preserve"> 2013</w:t>
      </w:r>
      <w:r w:rsidRPr="00720CFB">
        <w:rPr>
          <w:i/>
        </w:rPr>
        <w:t xml:space="preserve"> increases discriminate further against residents who can’t claim legal costs as tax deductions and who have already been acting </w:t>
      </w:r>
      <w:r w:rsidR="00254C5E">
        <w:rPr>
          <w:i/>
        </w:rPr>
        <w:t>at their own expense</w:t>
      </w:r>
      <w:r w:rsidR="00720CFB">
        <w:rPr>
          <w:i/>
        </w:rPr>
        <w:t xml:space="preserve"> </w:t>
      </w:r>
      <w:r w:rsidRPr="00720CFB">
        <w:rPr>
          <w:i/>
        </w:rPr>
        <w:t>as the only</w:t>
      </w:r>
      <w:r w:rsidR="00FB493E">
        <w:rPr>
          <w:i/>
        </w:rPr>
        <w:t xml:space="preserve"> effective</w:t>
      </w:r>
      <w:r w:rsidRPr="00720CFB">
        <w:rPr>
          <w:i/>
        </w:rPr>
        <w:t xml:space="preserve"> </w:t>
      </w:r>
      <w:r w:rsidR="00720CFB">
        <w:rPr>
          <w:i/>
        </w:rPr>
        <w:t>public</w:t>
      </w:r>
      <w:r w:rsidRPr="00720CFB">
        <w:rPr>
          <w:i/>
        </w:rPr>
        <w:t xml:space="preserve"> oversight over the activities of council planners and developers. </w:t>
      </w:r>
      <w:r w:rsidR="00720CFB" w:rsidRPr="00720CFB">
        <w:rPr>
          <w:i/>
        </w:rPr>
        <w:t>The introduction of the new exorbitant fees has already led to a large drop in the number of objector appeals</w:t>
      </w:r>
      <w:r w:rsidR="00E6486C">
        <w:rPr>
          <w:i/>
        </w:rPr>
        <w:t xml:space="preserve">, </w:t>
      </w:r>
      <w:r w:rsidR="00720CFB" w:rsidRPr="00720CFB">
        <w:rPr>
          <w:i/>
        </w:rPr>
        <w:t xml:space="preserve">although </w:t>
      </w:r>
      <w:r w:rsidR="00E6486C">
        <w:rPr>
          <w:i/>
        </w:rPr>
        <w:t>proper analysis is impossible</w:t>
      </w:r>
      <w:r w:rsidR="00720CFB" w:rsidRPr="00720CFB">
        <w:rPr>
          <w:i/>
        </w:rPr>
        <w:t xml:space="preserve"> because since 2009 VCAT has </w:t>
      </w:r>
      <w:r w:rsidR="00586466">
        <w:rPr>
          <w:i/>
        </w:rPr>
        <w:t>failed</w:t>
      </w:r>
      <w:r w:rsidR="00720CFB" w:rsidRPr="00720CFB">
        <w:rPr>
          <w:i/>
        </w:rPr>
        <w:t xml:space="preserve"> to issue their detailed annual case analysis data</w:t>
      </w:r>
      <w:r w:rsidR="00720CFB">
        <w:rPr>
          <w:i/>
        </w:rPr>
        <w:t xml:space="preserve"> (</w:t>
      </w:r>
      <w:r w:rsidR="00586466">
        <w:rPr>
          <w:i/>
        </w:rPr>
        <w:t xml:space="preserve">see </w:t>
      </w:r>
      <w:r w:rsidR="00720CFB">
        <w:rPr>
          <w:i/>
        </w:rPr>
        <w:t>point 1</w:t>
      </w:r>
      <w:r w:rsidR="00FB493E">
        <w:rPr>
          <w:i/>
        </w:rPr>
        <w:t>4</w:t>
      </w:r>
      <w:r w:rsidR="00720CFB">
        <w:rPr>
          <w:i/>
        </w:rPr>
        <w:t>)</w:t>
      </w:r>
      <w:r w:rsidR="00720CFB" w:rsidRPr="00720CFB">
        <w:rPr>
          <w:i/>
        </w:rPr>
        <w:t>.</w:t>
      </w:r>
      <w:r w:rsidR="00586466">
        <w:rPr>
          <w:i/>
        </w:rPr>
        <w:t xml:space="preserve"> </w:t>
      </w:r>
      <w:r w:rsidR="00FB493E">
        <w:rPr>
          <w:i/>
        </w:rPr>
        <w:t xml:space="preserve"> </w:t>
      </w:r>
      <w:r w:rsidR="00254C5E">
        <w:rPr>
          <w:i/>
        </w:rPr>
        <w:t>Earlier case data and other documents such as t</w:t>
      </w:r>
      <w:r w:rsidR="00586466" w:rsidRPr="00586466">
        <w:rPr>
          <w:i/>
        </w:rPr>
        <w:t xml:space="preserve">he </w:t>
      </w:r>
      <w:r w:rsidR="00586466" w:rsidRPr="00586466">
        <w:rPr>
          <w:rFonts w:eastAsia="Times New Roman"/>
          <w:i/>
        </w:rPr>
        <w:t>regulatory impact statement on the new fees posted in January 2013 ha</w:t>
      </w:r>
      <w:r w:rsidR="00254C5E">
        <w:rPr>
          <w:rFonts w:eastAsia="Times New Roman"/>
          <w:i/>
        </w:rPr>
        <w:t>ve</w:t>
      </w:r>
      <w:r w:rsidR="00586466" w:rsidRPr="00586466">
        <w:rPr>
          <w:rFonts w:eastAsia="Times New Roman"/>
          <w:i/>
        </w:rPr>
        <w:t xml:space="preserve"> also been deleted</w:t>
      </w:r>
      <w:r w:rsidR="00254C5E">
        <w:rPr>
          <w:rFonts w:eastAsia="Times New Roman"/>
          <w:i/>
        </w:rPr>
        <w:t xml:space="preserve"> from the VCAT website. This is poor transparency and accountability</w:t>
      </w:r>
      <w:r w:rsidR="00081CD8">
        <w:rPr>
          <w:rFonts w:eastAsia="Times New Roman"/>
          <w:i/>
        </w:rPr>
        <w:t xml:space="preserve"> and such practices should be reversed and strengthened</w:t>
      </w:r>
      <w:r w:rsidR="00586466">
        <w:rPr>
          <w:rFonts w:eastAsia="Times New Roman"/>
          <w:i/>
        </w:rPr>
        <w:t>.</w:t>
      </w:r>
      <w:r w:rsidR="00E6486C">
        <w:rPr>
          <w:rFonts w:eastAsia="Times New Roman"/>
          <w:i/>
        </w:rPr>
        <w:t xml:space="preserve"> </w:t>
      </w:r>
      <w:r w:rsidR="00E6486C">
        <w:rPr>
          <w:b/>
          <w:i/>
        </w:rPr>
        <w:t xml:space="preserve"> (R</w:t>
      </w:r>
      <w:r w:rsidR="00E6486C" w:rsidRPr="00E6486C">
        <w:rPr>
          <w:b/>
          <w:i/>
        </w:rPr>
        <w:t>ef.20)</w:t>
      </w:r>
    </w:p>
    <w:p w14:paraId="5BBC2076" w14:textId="77777777" w:rsidR="00254C5E" w:rsidRPr="00720CFB" w:rsidRDefault="00254C5E" w:rsidP="0034016F">
      <w:pPr>
        <w:rPr>
          <w:b/>
          <w:i/>
        </w:rPr>
      </w:pPr>
    </w:p>
    <w:p w14:paraId="08CAFD43" w14:textId="64AE9567" w:rsidR="00DA73D5" w:rsidRPr="00900728" w:rsidRDefault="004F77D2" w:rsidP="0034016F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="00C10AD4" w:rsidRPr="00900728">
        <w:rPr>
          <w:b/>
        </w:rPr>
        <w:t>Limit s</w:t>
      </w:r>
      <w:r w:rsidR="00DA73D5" w:rsidRPr="00900728">
        <w:rPr>
          <w:b/>
        </w:rPr>
        <w:t xml:space="preserve">ubstitution of amended plans </w:t>
      </w:r>
      <w:r w:rsidR="003A4FC7">
        <w:rPr>
          <w:b/>
        </w:rPr>
        <w:t xml:space="preserve">at VCAT </w:t>
      </w:r>
      <w:r w:rsidR="00DA73D5" w:rsidRPr="00900728">
        <w:rPr>
          <w:b/>
        </w:rPr>
        <w:t xml:space="preserve">to cases </w:t>
      </w:r>
      <w:r w:rsidR="0035068B">
        <w:rPr>
          <w:b/>
        </w:rPr>
        <w:t>of</w:t>
      </w:r>
      <w:r w:rsidR="00DA73D5" w:rsidRPr="00900728">
        <w:rPr>
          <w:b/>
        </w:rPr>
        <w:t xml:space="preserve"> a change of circumstance </w:t>
      </w:r>
      <w:r w:rsidR="00E535B6">
        <w:rPr>
          <w:b/>
        </w:rPr>
        <w:t xml:space="preserve">independent of the </w:t>
      </w:r>
      <w:proofErr w:type="gramStart"/>
      <w:r w:rsidR="00E535B6">
        <w:rPr>
          <w:b/>
        </w:rPr>
        <w:t xml:space="preserve">applicant </w:t>
      </w:r>
      <w:r w:rsidR="00DA73D5" w:rsidRPr="00900728">
        <w:rPr>
          <w:b/>
        </w:rPr>
        <w:t>which</w:t>
      </w:r>
      <w:proofErr w:type="gramEnd"/>
      <w:r w:rsidR="00DA73D5" w:rsidRPr="00900728">
        <w:rPr>
          <w:b/>
        </w:rPr>
        <w:t xml:space="preserve"> necessitates modification of the proposal</w:t>
      </w:r>
      <w:r w:rsidR="000B36FC" w:rsidRPr="00900728">
        <w:rPr>
          <w:b/>
        </w:rPr>
        <w:t>.</w:t>
      </w:r>
      <w:r w:rsidR="00C3032E" w:rsidRPr="00900728">
        <w:rPr>
          <w:b/>
        </w:rPr>
        <w:t xml:space="preserve"> </w:t>
      </w:r>
      <w:r w:rsidR="00DA73D5" w:rsidRPr="00900728">
        <w:rPr>
          <w:b/>
        </w:rPr>
        <w:t xml:space="preserve">In these cases, </w:t>
      </w:r>
      <w:r w:rsidR="00A62859">
        <w:rPr>
          <w:b/>
        </w:rPr>
        <w:t>a new</w:t>
      </w:r>
      <w:r w:rsidR="000B36FC" w:rsidRPr="00900728">
        <w:rPr>
          <w:b/>
        </w:rPr>
        <w:t xml:space="preserve"> review application fee should </w:t>
      </w:r>
      <w:r w:rsidR="00A62859">
        <w:rPr>
          <w:b/>
        </w:rPr>
        <w:t>apply</w:t>
      </w:r>
      <w:r w:rsidR="000B36FC" w:rsidRPr="00900728">
        <w:rPr>
          <w:b/>
        </w:rPr>
        <w:t xml:space="preserve"> </w:t>
      </w:r>
      <w:r w:rsidR="00DA73D5" w:rsidRPr="00900728">
        <w:rPr>
          <w:b/>
        </w:rPr>
        <w:t xml:space="preserve">for substituting amended plans </w:t>
      </w:r>
      <w:r w:rsidR="00E6486C">
        <w:rPr>
          <w:b/>
        </w:rPr>
        <w:t xml:space="preserve">      </w:t>
      </w:r>
      <w:r w:rsidR="000B36FC" w:rsidRPr="00900728">
        <w:rPr>
          <w:b/>
        </w:rPr>
        <w:t>(</w:t>
      </w:r>
      <w:r w:rsidR="00E6486C">
        <w:rPr>
          <w:b/>
        </w:rPr>
        <w:t>R</w:t>
      </w:r>
      <w:r w:rsidR="00900728">
        <w:rPr>
          <w:b/>
        </w:rPr>
        <w:t xml:space="preserve">efs. </w:t>
      </w:r>
      <w:r w:rsidR="000B36FC" w:rsidRPr="00900728">
        <w:rPr>
          <w:b/>
        </w:rPr>
        <w:t>1</w:t>
      </w:r>
      <w:r w:rsidR="00A1368D" w:rsidRPr="00900728">
        <w:rPr>
          <w:b/>
        </w:rPr>
        <w:t>, 2</w:t>
      </w:r>
      <w:r w:rsidR="000B36FC" w:rsidRPr="00900728">
        <w:rPr>
          <w:b/>
        </w:rPr>
        <w:t>)</w:t>
      </w:r>
    </w:p>
    <w:p w14:paraId="1B3D3EE9" w14:textId="77777777" w:rsidR="00FB493E" w:rsidRDefault="00FB493E" w:rsidP="0034016F"/>
    <w:p w14:paraId="6E62967B" w14:textId="69A6A0D9" w:rsidR="00DA73D5" w:rsidRDefault="00C10AD4" w:rsidP="0034016F">
      <w:r>
        <w:t>(</w:t>
      </w:r>
      <w:r w:rsidRPr="00C10AD4">
        <w:rPr>
          <w:i/>
        </w:rPr>
        <w:t xml:space="preserve">Purpose – to deter ambit claims and induce developers to negotiate any amended plans with all parties at the council assessment level. It is statistically evident that developers know they will get a more </w:t>
      </w:r>
      <w:proofErr w:type="spellStart"/>
      <w:r w:rsidRPr="00C10AD4">
        <w:rPr>
          <w:i/>
        </w:rPr>
        <w:t>favourable</w:t>
      </w:r>
      <w:proofErr w:type="spellEnd"/>
      <w:r w:rsidRPr="00C10AD4">
        <w:rPr>
          <w:i/>
        </w:rPr>
        <w:t xml:space="preserve"> outcome (on average) from VCAT than from Council</w:t>
      </w:r>
      <w:r>
        <w:t>)</w:t>
      </w:r>
    </w:p>
    <w:p w14:paraId="6B8DEBA1" w14:textId="77777777" w:rsidR="00C10AD4" w:rsidRDefault="00C10AD4" w:rsidP="0034016F"/>
    <w:p w14:paraId="7DFDB2DD" w14:textId="0A500050" w:rsidR="00B33D8C" w:rsidRPr="00900728" w:rsidRDefault="004F77D2" w:rsidP="00B33D8C">
      <w:pPr>
        <w:rPr>
          <w:b/>
        </w:rPr>
      </w:pPr>
      <w:r>
        <w:rPr>
          <w:b/>
        </w:rPr>
        <w:t>4</w:t>
      </w:r>
      <w:r w:rsidR="00B33D8C" w:rsidRPr="00900728">
        <w:rPr>
          <w:b/>
        </w:rPr>
        <w:tab/>
      </w:r>
      <w:r w:rsidR="00B33D8C">
        <w:rPr>
          <w:b/>
        </w:rPr>
        <w:tab/>
      </w:r>
      <w:r w:rsidR="00FB580B">
        <w:rPr>
          <w:b/>
        </w:rPr>
        <w:t>M</w:t>
      </w:r>
      <w:r w:rsidR="00B33D8C" w:rsidRPr="00900728">
        <w:rPr>
          <w:b/>
        </w:rPr>
        <w:t>ore mandatory guidelines in planning schemes</w:t>
      </w:r>
      <w:r w:rsidR="00FB580B">
        <w:rPr>
          <w:b/>
        </w:rPr>
        <w:t xml:space="preserve"> to be introduced by the State Government</w:t>
      </w:r>
      <w:r w:rsidR="00B33D8C">
        <w:rPr>
          <w:b/>
        </w:rPr>
        <w:t>, in particular</w:t>
      </w:r>
      <w:r w:rsidR="00B33D8C" w:rsidRPr="00900728">
        <w:rPr>
          <w:b/>
        </w:rPr>
        <w:t xml:space="preserve"> for </w:t>
      </w:r>
      <w:proofErr w:type="spellStart"/>
      <w:r w:rsidR="00B33D8C" w:rsidRPr="00900728">
        <w:rPr>
          <w:b/>
        </w:rPr>
        <w:t>Rescode</w:t>
      </w:r>
      <w:proofErr w:type="spellEnd"/>
      <w:r w:rsidR="00B33D8C" w:rsidRPr="00900728">
        <w:rPr>
          <w:b/>
        </w:rPr>
        <w:t xml:space="preserve"> standards </w:t>
      </w:r>
      <w:r w:rsidR="00B33D8C">
        <w:rPr>
          <w:b/>
        </w:rPr>
        <w:t xml:space="preserve">and </w:t>
      </w:r>
      <w:r w:rsidR="00B33D8C" w:rsidRPr="00900728">
        <w:rPr>
          <w:b/>
        </w:rPr>
        <w:t xml:space="preserve">zone </w:t>
      </w:r>
      <w:r w:rsidR="00B33D8C">
        <w:rPr>
          <w:b/>
        </w:rPr>
        <w:t>&amp;</w:t>
      </w:r>
      <w:r w:rsidR="00B33D8C" w:rsidRPr="00900728">
        <w:rPr>
          <w:b/>
        </w:rPr>
        <w:t xml:space="preserve"> overlay schedules</w:t>
      </w:r>
      <w:r w:rsidR="00B33D8C">
        <w:rPr>
          <w:b/>
        </w:rPr>
        <w:t xml:space="preserve">; and more specific </w:t>
      </w:r>
      <w:r w:rsidR="00FB580B">
        <w:rPr>
          <w:b/>
        </w:rPr>
        <w:t xml:space="preserve">formal </w:t>
      </w:r>
      <w:r w:rsidR="00B33D8C">
        <w:rPr>
          <w:b/>
        </w:rPr>
        <w:t xml:space="preserve">justification </w:t>
      </w:r>
      <w:r w:rsidR="00EA6887">
        <w:rPr>
          <w:b/>
        </w:rPr>
        <w:t xml:space="preserve">to be required </w:t>
      </w:r>
      <w:r w:rsidR="00B33D8C">
        <w:rPr>
          <w:b/>
        </w:rPr>
        <w:t xml:space="preserve">for </w:t>
      </w:r>
      <w:r w:rsidR="00EA6887">
        <w:rPr>
          <w:b/>
        </w:rPr>
        <w:t xml:space="preserve">the </w:t>
      </w:r>
      <w:r w:rsidR="00FC0754">
        <w:rPr>
          <w:b/>
        </w:rPr>
        <w:t>use of discretion</w:t>
      </w:r>
      <w:r w:rsidR="00B33D8C">
        <w:rPr>
          <w:b/>
        </w:rPr>
        <w:t xml:space="preserve"> </w:t>
      </w:r>
      <w:r w:rsidR="00EA6887">
        <w:rPr>
          <w:b/>
        </w:rPr>
        <w:t xml:space="preserve">where this </w:t>
      </w:r>
      <w:r w:rsidR="00FB580B">
        <w:rPr>
          <w:b/>
        </w:rPr>
        <w:t>will</w:t>
      </w:r>
      <w:r w:rsidR="00EA6887">
        <w:rPr>
          <w:b/>
        </w:rPr>
        <w:t xml:space="preserve"> still </w:t>
      </w:r>
      <w:r w:rsidR="00FB580B">
        <w:rPr>
          <w:b/>
        </w:rPr>
        <w:t xml:space="preserve">be </w:t>
      </w:r>
      <w:r w:rsidR="00EA6887">
        <w:rPr>
          <w:b/>
        </w:rPr>
        <w:t xml:space="preserve">permissible under </w:t>
      </w:r>
      <w:r w:rsidR="00FB580B">
        <w:rPr>
          <w:b/>
        </w:rPr>
        <w:t xml:space="preserve">these </w:t>
      </w:r>
      <w:r w:rsidR="00EA6887">
        <w:rPr>
          <w:b/>
        </w:rPr>
        <w:t>new tighter guidelines</w:t>
      </w:r>
      <w:r w:rsidR="00B33D8C" w:rsidRPr="00900728">
        <w:rPr>
          <w:b/>
        </w:rPr>
        <w:t xml:space="preserve"> </w:t>
      </w:r>
      <w:r w:rsidR="00E6486C">
        <w:rPr>
          <w:b/>
        </w:rPr>
        <w:t xml:space="preserve">     </w:t>
      </w:r>
      <w:r w:rsidR="00B33D8C" w:rsidRPr="00900728">
        <w:rPr>
          <w:b/>
        </w:rPr>
        <w:t>(</w:t>
      </w:r>
      <w:r w:rsidR="00E6486C">
        <w:rPr>
          <w:b/>
        </w:rPr>
        <w:t>R</w:t>
      </w:r>
      <w:r w:rsidR="00B33D8C">
        <w:rPr>
          <w:b/>
        </w:rPr>
        <w:t xml:space="preserve">efs. 2, </w:t>
      </w:r>
      <w:r w:rsidR="00B33D8C" w:rsidRPr="00900728">
        <w:rPr>
          <w:b/>
        </w:rPr>
        <w:t>8</w:t>
      </w:r>
      <w:r w:rsidR="00B33D8C">
        <w:rPr>
          <w:b/>
        </w:rPr>
        <w:t>, 9, 18</w:t>
      </w:r>
      <w:r w:rsidR="00B33D8C" w:rsidRPr="00900728">
        <w:rPr>
          <w:b/>
        </w:rPr>
        <w:t>)</w:t>
      </w:r>
    </w:p>
    <w:p w14:paraId="08C3BB27" w14:textId="77777777" w:rsidR="00B33D8C" w:rsidRPr="0034016F" w:rsidRDefault="00B33D8C" w:rsidP="00B33D8C"/>
    <w:p w14:paraId="4EF57ABE" w14:textId="3E43A038" w:rsidR="00B33D8C" w:rsidRDefault="004F77D2" w:rsidP="00B33D8C">
      <w:pPr>
        <w:rPr>
          <w:b/>
        </w:rPr>
      </w:pPr>
      <w:r>
        <w:rPr>
          <w:b/>
        </w:rPr>
        <w:t>5</w:t>
      </w:r>
      <w:r w:rsidR="00B33D8C" w:rsidRPr="00900728">
        <w:rPr>
          <w:b/>
        </w:rPr>
        <w:tab/>
      </w:r>
      <w:r w:rsidR="00B33D8C">
        <w:rPr>
          <w:b/>
        </w:rPr>
        <w:tab/>
      </w:r>
      <w:r w:rsidR="00FB580B">
        <w:rPr>
          <w:b/>
        </w:rPr>
        <w:t>The</w:t>
      </w:r>
      <w:r w:rsidR="00B33D8C">
        <w:rPr>
          <w:b/>
        </w:rPr>
        <w:t xml:space="preserve"> State Gov</w:t>
      </w:r>
      <w:r w:rsidR="00FB580B">
        <w:rPr>
          <w:b/>
        </w:rPr>
        <w:t>ernmen</w:t>
      </w:r>
      <w:r w:rsidR="00B33D8C">
        <w:rPr>
          <w:b/>
        </w:rPr>
        <w:t xml:space="preserve">t </w:t>
      </w:r>
      <w:r w:rsidR="00B33D8C" w:rsidRPr="00900728">
        <w:rPr>
          <w:b/>
        </w:rPr>
        <w:t xml:space="preserve">to </w:t>
      </w:r>
      <w:r w:rsidR="00FB580B">
        <w:rPr>
          <w:b/>
        </w:rPr>
        <w:t>a</w:t>
      </w:r>
      <w:r w:rsidR="00B33D8C" w:rsidRPr="00900728">
        <w:rPr>
          <w:b/>
        </w:rPr>
        <w:t xml:space="preserve">mend s60 P&amp;E Act to establish the pre-eminence of local incorporated policy, supported by a ministerial directive to VCAT </w:t>
      </w:r>
      <w:r w:rsidR="00E6486C">
        <w:rPr>
          <w:b/>
        </w:rPr>
        <w:t xml:space="preserve">   </w:t>
      </w:r>
      <w:r w:rsidR="00B33D8C" w:rsidRPr="00900728">
        <w:rPr>
          <w:b/>
        </w:rPr>
        <w:t>(</w:t>
      </w:r>
      <w:r w:rsidR="00E6486C">
        <w:rPr>
          <w:b/>
        </w:rPr>
        <w:t>R</w:t>
      </w:r>
      <w:r w:rsidR="00B33D8C">
        <w:rPr>
          <w:b/>
        </w:rPr>
        <w:t>ef. 7, 8</w:t>
      </w:r>
      <w:r w:rsidR="00B33D8C" w:rsidRPr="00900728">
        <w:rPr>
          <w:b/>
        </w:rPr>
        <w:t xml:space="preserve">).  </w:t>
      </w:r>
    </w:p>
    <w:p w14:paraId="17A337C1" w14:textId="77777777" w:rsidR="00FB493E" w:rsidRDefault="00FB493E" w:rsidP="00B33D8C">
      <w:pPr>
        <w:rPr>
          <w:i/>
        </w:rPr>
      </w:pPr>
    </w:p>
    <w:p w14:paraId="3A72ACBB" w14:textId="30817406" w:rsidR="00B33D8C" w:rsidRPr="0036316E" w:rsidRDefault="00B33D8C" w:rsidP="00B33D8C">
      <w:pPr>
        <w:rPr>
          <w:i/>
          <w:lang w:val="en-AU"/>
        </w:rPr>
      </w:pPr>
      <w:r w:rsidRPr="0036316E">
        <w:rPr>
          <w:i/>
        </w:rPr>
        <w:t xml:space="preserve">Despite VCAT </w:t>
      </w:r>
      <w:r>
        <w:rPr>
          <w:i/>
        </w:rPr>
        <w:t xml:space="preserve">Members </w:t>
      </w:r>
      <w:r w:rsidRPr="0036316E">
        <w:rPr>
          <w:i/>
        </w:rPr>
        <w:t>frequently defe</w:t>
      </w:r>
      <w:r>
        <w:rPr>
          <w:i/>
        </w:rPr>
        <w:t>rring to state policy when it</w:t>
      </w:r>
      <w:r w:rsidRPr="0036316E">
        <w:rPr>
          <w:i/>
        </w:rPr>
        <w:t xml:space="preserve"> differs from local policy, the primacy of local policy is </w:t>
      </w:r>
      <w:r>
        <w:rPr>
          <w:i/>
        </w:rPr>
        <w:t>clearly implied in</w:t>
      </w:r>
      <w:r w:rsidRPr="0036316E">
        <w:rPr>
          <w:i/>
        </w:rPr>
        <w:t xml:space="preserve"> the planning regime.  </w:t>
      </w:r>
      <w:proofErr w:type="spellStart"/>
      <w:r w:rsidRPr="0036316E">
        <w:rPr>
          <w:i/>
        </w:rPr>
        <w:t>Eg</w:t>
      </w:r>
      <w:proofErr w:type="spellEnd"/>
      <w:r w:rsidRPr="0036316E">
        <w:rPr>
          <w:i/>
        </w:rPr>
        <w:t>,</w:t>
      </w:r>
      <w:r>
        <w:rPr>
          <w:i/>
        </w:rPr>
        <w:t xml:space="preserve"> </w:t>
      </w:r>
      <w:r w:rsidRPr="0036316E">
        <w:rPr>
          <w:i/>
        </w:rPr>
        <w:t>Planning Practice Note 8 (“Writing a Local Planning Policy”) states “</w:t>
      </w:r>
      <w:r w:rsidRPr="0036316E">
        <w:rPr>
          <w:i/>
          <w:lang w:val="en-AU"/>
        </w:rPr>
        <w:t>An LPP guides how discretion in a zone, overlay or a particular provision will be exercised”; and the</w:t>
      </w:r>
      <w:r w:rsidR="006B151D">
        <w:rPr>
          <w:i/>
          <w:lang w:val="en-AU"/>
        </w:rPr>
        <w:t xml:space="preserve"> </w:t>
      </w:r>
      <w:proofErr w:type="spellStart"/>
      <w:r w:rsidR="006B151D">
        <w:rPr>
          <w:i/>
          <w:lang w:val="en-AU"/>
        </w:rPr>
        <w:t>Rescode</w:t>
      </w:r>
      <w:proofErr w:type="spellEnd"/>
      <w:r w:rsidRPr="0036316E">
        <w:rPr>
          <w:i/>
          <w:lang w:val="en-AU"/>
        </w:rPr>
        <w:t xml:space="preserve"> </w:t>
      </w:r>
      <w:r w:rsidR="000A0363" w:rsidRPr="0036316E">
        <w:rPr>
          <w:i/>
          <w:lang w:val="en-AU"/>
        </w:rPr>
        <w:t xml:space="preserve">preamble </w:t>
      </w:r>
      <w:r w:rsidR="000A0363">
        <w:rPr>
          <w:i/>
          <w:lang w:val="en-AU"/>
        </w:rPr>
        <w:t xml:space="preserve">under </w:t>
      </w:r>
      <w:r>
        <w:rPr>
          <w:i/>
          <w:lang w:val="en-AU"/>
        </w:rPr>
        <w:t xml:space="preserve">“Requirements” </w:t>
      </w:r>
      <w:r w:rsidRPr="0036316E">
        <w:rPr>
          <w:i/>
          <w:lang w:val="en-AU"/>
        </w:rPr>
        <w:t>states</w:t>
      </w:r>
      <w:r>
        <w:rPr>
          <w:i/>
          <w:lang w:val="en-AU"/>
        </w:rPr>
        <w:t xml:space="preserve"> </w:t>
      </w:r>
      <w:r w:rsidRPr="0036316E">
        <w:rPr>
          <w:i/>
          <w:lang w:val="en-AU"/>
        </w:rPr>
        <w:t xml:space="preserve">that </w:t>
      </w:r>
      <w:r>
        <w:rPr>
          <w:i/>
          <w:lang w:val="en-AU"/>
        </w:rPr>
        <w:t xml:space="preserve">where </w:t>
      </w:r>
      <w:r w:rsidRPr="0036316E">
        <w:rPr>
          <w:i/>
          <w:lang w:val="en-AU"/>
        </w:rPr>
        <w:t xml:space="preserve">local variations to </w:t>
      </w:r>
      <w:proofErr w:type="spellStart"/>
      <w:r w:rsidRPr="0036316E">
        <w:rPr>
          <w:i/>
          <w:lang w:val="en-AU"/>
        </w:rPr>
        <w:t>Rescode</w:t>
      </w:r>
      <w:proofErr w:type="spellEnd"/>
      <w:r w:rsidRPr="0036316E">
        <w:rPr>
          <w:i/>
          <w:lang w:val="en-AU"/>
        </w:rPr>
        <w:t xml:space="preserve"> standards </w:t>
      </w:r>
      <w:r>
        <w:rPr>
          <w:i/>
          <w:lang w:val="en-AU"/>
        </w:rPr>
        <w:t xml:space="preserve">occur </w:t>
      </w:r>
      <w:r w:rsidRPr="0036316E">
        <w:rPr>
          <w:i/>
          <w:lang w:val="en-AU"/>
        </w:rPr>
        <w:t>in schedules and overlays</w:t>
      </w:r>
      <w:r>
        <w:rPr>
          <w:i/>
          <w:lang w:val="en-AU"/>
        </w:rPr>
        <w:t>, these local variations</w:t>
      </w:r>
      <w:r w:rsidRPr="0036316E">
        <w:rPr>
          <w:i/>
          <w:lang w:val="en-AU"/>
        </w:rPr>
        <w:t xml:space="preserve"> </w:t>
      </w:r>
      <w:r>
        <w:rPr>
          <w:i/>
          <w:lang w:val="en-AU"/>
        </w:rPr>
        <w:t xml:space="preserve">apply, not </w:t>
      </w:r>
      <w:r w:rsidRPr="0036316E">
        <w:rPr>
          <w:i/>
          <w:lang w:val="en-AU"/>
        </w:rPr>
        <w:t xml:space="preserve">the </w:t>
      </w:r>
      <w:r>
        <w:rPr>
          <w:i/>
          <w:lang w:val="en-AU"/>
        </w:rPr>
        <w:t xml:space="preserve">state </w:t>
      </w:r>
      <w:r w:rsidRPr="0036316E">
        <w:rPr>
          <w:i/>
          <w:lang w:val="en-AU"/>
        </w:rPr>
        <w:t>standard set out in Clauses 54 and 55.</w:t>
      </w:r>
    </w:p>
    <w:p w14:paraId="5C595660" w14:textId="77777777" w:rsidR="00B33D8C" w:rsidRPr="0034016F" w:rsidRDefault="00B33D8C" w:rsidP="00B33D8C"/>
    <w:p w14:paraId="5733CDCA" w14:textId="51C68EBA" w:rsidR="00DA73D5" w:rsidRPr="00900728" w:rsidRDefault="004F77D2" w:rsidP="0034016F">
      <w:pPr>
        <w:rPr>
          <w:b/>
        </w:rPr>
      </w:pPr>
      <w:r>
        <w:rPr>
          <w:b/>
        </w:rPr>
        <w:t>6</w:t>
      </w:r>
      <w:r w:rsidR="00900728" w:rsidRPr="00900728">
        <w:rPr>
          <w:b/>
        </w:rPr>
        <w:tab/>
      </w:r>
      <w:r w:rsidR="003A2439">
        <w:rPr>
          <w:b/>
        </w:rPr>
        <w:tab/>
      </w:r>
      <w:r w:rsidR="00DA73D5" w:rsidRPr="00900728">
        <w:rPr>
          <w:b/>
        </w:rPr>
        <w:t>Introduce case management practices to reduce the increasing use of legal practitioners and expert witnesses</w:t>
      </w:r>
      <w:r w:rsidR="00E6486C">
        <w:rPr>
          <w:b/>
        </w:rPr>
        <w:t xml:space="preserve">      </w:t>
      </w:r>
      <w:r w:rsidR="00A1368D" w:rsidRPr="00900728">
        <w:rPr>
          <w:b/>
        </w:rPr>
        <w:t xml:space="preserve"> (</w:t>
      </w:r>
      <w:r w:rsidR="00E6486C">
        <w:rPr>
          <w:b/>
        </w:rPr>
        <w:t>R</w:t>
      </w:r>
      <w:r w:rsidR="00900728">
        <w:rPr>
          <w:b/>
        </w:rPr>
        <w:t xml:space="preserve">ef. </w:t>
      </w:r>
      <w:r w:rsidR="00A1368D" w:rsidRPr="00900728">
        <w:rPr>
          <w:b/>
        </w:rPr>
        <w:t>3)</w:t>
      </w:r>
    </w:p>
    <w:p w14:paraId="796AA7CE" w14:textId="77777777" w:rsidR="00DA73D5" w:rsidRPr="0034016F" w:rsidRDefault="00DA73D5" w:rsidP="0034016F"/>
    <w:p w14:paraId="55E25F88" w14:textId="27BD8D2C" w:rsidR="00B37E91" w:rsidRPr="000A0363" w:rsidRDefault="004F77D2" w:rsidP="0034016F">
      <w:pPr>
        <w:rPr>
          <w:b/>
        </w:rPr>
      </w:pPr>
      <w:r w:rsidRPr="000A0363">
        <w:rPr>
          <w:b/>
        </w:rPr>
        <w:t>7</w:t>
      </w:r>
      <w:r w:rsidR="00900728" w:rsidRPr="000A0363">
        <w:rPr>
          <w:b/>
        </w:rPr>
        <w:tab/>
      </w:r>
      <w:r w:rsidR="003A2439" w:rsidRPr="000A0363">
        <w:rPr>
          <w:b/>
        </w:rPr>
        <w:tab/>
      </w:r>
      <w:r w:rsidR="00D76D78" w:rsidRPr="000A0363">
        <w:rPr>
          <w:b/>
        </w:rPr>
        <w:t>I</w:t>
      </w:r>
      <w:r w:rsidR="00DA73D5" w:rsidRPr="000A0363">
        <w:rPr>
          <w:b/>
        </w:rPr>
        <w:t xml:space="preserve">n cases where </w:t>
      </w:r>
      <w:r w:rsidR="00662FDD" w:rsidRPr="000A0363">
        <w:rPr>
          <w:b/>
        </w:rPr>
        <w:t xml:space="preserve">an </w:t>
      </w:r>
      <w:r w:rsidR="00D76D78" w:rsidRPr="000A0363">
        <w:rPr>
          <w:b/>
        </w:rPr>
        <w:t xml:space="preserve">expert witness </w:t>
      </w:r>
      <w:r w:rsidR="00DA73D5" w:rsidRPr="000A0363">
        <w:rPr>
          <w:b/>
        </w:rPr>
        <w:t xml:space="preserve">is </w:t>
      </w:r>
      <w:r w:rsidR="00496457" w:rsidRPr="000A0363">
        <w:rPr>
          <w:b/>
        </w:rPr>
        <w:t xml:space="preserve">requested by a permit applicant and </w:t>
      </w:r>
      <w:r w:rsidR="00B125BC" w:rsidRPr="000A0363">
        <w:rPr>
          <w:b/>
        </w:rPr>
        <w:t>approv</w:t>
      </w:r>
      <w:r w:rsidR="00496457" w:rsidRPr="000A0363">
        <w:rPr>
          <w:b/>
        </w:rPr>
        <w:t xml:space="preserve">ed by VCAT </w:t>
      </w:r>
      <w:r w:rsidR="00B125BC" w:rsidRPr="000A0363">
        <w:rPr>
          <w:b/>
        </w:rPr>
        <w:t>as</w:t>
      </w:r>
      <w:r w:rsidR="00496457" w:rsidRPr="000A0363">
        <w:rPr>
          <w:b/>
        </w:rPr>
        <w:t xml:space="preserve"> be</w:t>
      </w:r>
      <w:r w:rsidR="00B125BC" w:rsidRPr="000A0363">
        <w:rPr>
          <w:b/>
        </w:rPr>
        <w:t>ing</w:t>
      </w:r>
      <w:r w:rsidR="00496457" w:rsidRPr="000A0363">
        <w:rPr>
          <w:b/>
        </w:rPr>
        <w:t xml:space="preserve"> </w:t>
      </w:r>
      <w:r w:rsidR="00DA73D5" w:rsidRPr="000A0363">
        <w:rPr>
          <w:b/>
        </w:rPr>
        <w:t xml:space="preserve">warranted, </w:t>
      </w:r>
      <w:r w:rsidR="00D76D78" w:rsidRPr="000A0363">
        <w:rPr>
          <w:b/>
        </w:rPr>
        <w:t xml:space="preserve">limit this </w:t>
      </w:r>
      <w:r w:rsidR="00B37E91" w:rsidRPr="000A0363">
        <w:rPr>
          <w:b/>
        </w:rPr>
        <w:t>to one of two options</w:t>
      </w:r>
      <w:r w:rsidR="00662FDD" w:rsidRPr="000A0363">
        <w:rPr>
          <w:b/>
        </w:rPr>
        <w:t xml:space="preserve"> to remove witness bias</w:t>
      </w:r>
      <w:r w:rsidR="00B37E91" w:rsidRPr="000A0363">
        <w:rPr>
          <w:b/>
        </w:rPr>
        <w:t>:</w:t>
      </w:r>
    </w:p>
    <w:p w14:paraId="0BB4797C" w14:textId="3F6F7AD3" w:rsidR="00DA73D5" w:rsidRPr="000A0363" w:rsidRDefault="00B37E91" w:rsidP="0034016F">
      <w:pPr>
        <w:rPr>
          <w:b/>
        </w:rPr>
      </w:pPr>
      <w:r w:rsidRPr="000A0363">
        <w:rPr>
          <w:b/>
        </w:rPr>
        <w:t>(a)</w:t>
      </w:r>
      <w:r w:rsidRPr="000A0363">
        <w:rPr>
          <w:b/>
        </w:rPr>
        <w:tab/>
      </w:r>
      <w:proofErr w:type="gramStart"/>
      <w:r w:rsidR="00DA73D5" w:rsidRPr="000A0363">
        <w:rPr>
          <w:b/>
        </w:rPr>
        <w:t>a</w:t>
      </w:r>
      <w:proofErr w:type="gramEnd"/>
      <w:r w:rsidR="00DA73D5" w:rsidRPr="000A0363">
        <w:rPr>
          <w:b/>
        </w:rPr>
        <w:t xml:space="preserve"> single court-appointed witness only, </w:t>
      </w:r>
      <w:r w:rsidR="00496457" w:rsidRPr="000A0363">
        <w:rPr>
          <w:b/>
        </w:rPr>
        <w:t xml:space="preserve">to be paid </w:t>
      </w:r>
      <w:r w:rsidR="00B40F35" w:rsidRPr="000A0363">
        <w:rPr>
          <w:b/>
        </w:rPr>
        <w:t>by</w:t>
      </w:r>
      <w:r w:rsidR="00496457" w:rsidRPr="000A0363">
        <w:rPr>
          <w:b/>
        </w:rPr>
        <w:t xml:space="preserve"> VCAT </w:t>
      </w:r>
      <w:r w:rsidR="00D76D78" w:rsidRPr="000A0363">
        <w:rPr>
          <w:b/>
        </w:rPr>
        <w:t xml:space="preserve">but </w:t>
      </w:r>
      <w:r w:rsidR="00B40F35" w:rsidRPr="000A0363">
        <w:rPr>
          <w:b/>
        </w:rPr>
        <w:t xml:space="preserve">with those costs </w:t>
      </w:r>
      <w:r w:rsidR="00D76D78" w:rsidRPr="000A0363">
        <w:rPr>
          <w:b/>
        </w:rPr>
        <w:t>reimbursed by</w:t>
      </w:r>
      <w:r w:rsidR="00B40F35" w:rsidRPr="000A0363">
        <w:rPr>
          <w:b/>
        </w:rPr>
        <w:t xml:space="preserve"> </w:t>
      </w:r>
      <w:r w:rsidR="00DA73D5" w:rsidRPr="000A0363">
        <w:rPr>
          <w:b/>
        </w:rPr>
        <w:t xml:space="preserve">the </w:t>
      </w:r>
      <w:r w:rsidR="00496457" w:rsidRPr="000A0363">
        <w:rPr>
          <w:b/>
        </w:rPr>
        <w:t>requesting party</w:t>
      </w:r>
      <w:r w:rsidR="00A1368D" w:rsidRPr="000A0363">
        <w:rPr>
          <w:b/>
        </w:rPr>
        <w:t xml:space="preserve"> (</w:t>
      </w:r>
      <w:r w:rsidRPr="000A0363">
        <w:rPr>
          <w:b/>
        </w:rPr>
        <w:t xml:space="preserve">usually the permit applicant, </w:t>
      </w:r>
      <w:r w:rsidR="00D76D78" w:rsidRPr="000A0363">
        <w:rPr>
          <w:b/>
        </w:rPr>
        <w:t>who pays for their expert witness(</w:t>
      </w:r>
      <w:proofErr w:type="spellStart"/>
      <w:r w:rsidR="00D76D78" w:rsidRPr="000A0363">
        <w:rPr>
          <w:b/>
        </w:rPr>
        <w:t>es</w:t>
      </w:r>
      <w:proofErr w:type="spellEnd"/>
      <w:r w:rsidR="00D76D78" w:rsidRPr="000A0363">
        <w:rPr>
          <w:b/>
        </w:rPr>
        <w:t>) currently</w:t>
      </w:r>
      <w:r w:rsidR="00662FDD" w:rsidRPr="000A0363">
        <w:rPr>
          <w:b/>
        </w:rPr>
        <w:t xml:space="preserve"> anyway</w:t>
      </w:r>
      <w:r w:rsidR="00D76D78" w:rsidRPr="000A0363">
        <w:rPr>
          <w:b/>
        </w:rPr>
        <w:t xml:space="preserve">).  </w:t>
      </w:r>
    </w:p>
    <w:p w14:paraId="245ED645" w14:textId="77777777" w:rsidR="006A1E39" w:rsidRDefault="006A1E39" w:rsidP="0034016F">
      <w:pPr>
        <w:rPr>
          <w:b/>
        </w:rPr>
      </w:pPr>
    </w:p>
    <w:p w14:paraId="25A5300A" w14:textId="40C82B91" w:rsidR="00DA73D5" w:rsidRDefault="00B37E91" w:rsidP="0034016F">
      <w:pPr>
        <w:rPr>
          <w:b/>
        </w:rPr>
      </w:pPr>
      <w:r w:rsidRPr="000A0363">
        <w:rPr>
          <w:b/>
        </w:rPr>
        <w:t>(b)</w:t>
      </w:r>
      <w:r w:rsidRPr="000A0363">
        <w:rPr>
          <w:b/>
        </w:rPr>
        <w:tab/>
        <w:t>“</w:t>
      </w:r>
      <w:proofErr w:type="gramStart"/>
      <w:r w:rsidRPr="000A0363">
        <w:rPr>
          <w:b/>
        </w:rPr>
        <w:t>hot</w:t>
      </w:r>
      <w:proofErr w:type="gramEnd"/>
      <w:r w:rsidRPr="000A0363">
        <w:rPr>
          <w:b/>
        </w:rPr>
        <w:t>-</w:t>
      </w:r>
      <w:proofErr w:type="spellStart"/>
      <w:r w:rsidRPr="000A0363">
        <w:rPr>
          <w:b/>
        </w:rPr>
        <w:t>tubbing</w:t>
      </w:r>
      <w:proofErr w:type="spellEnd"/>
      <w:r w:rsidRPr="000A0363">
        <w:rPr>
          <w:b/>
        </w:rPr>
        <w:t xml:space="preserve">” with </w:t>
      </w:r>
      <w:r w:rsidR="00504E54" w:rsidRPr="000A0363">
        <w:rPr>
          <w:b/>
        </w:rPr>
        <w:t>2</w:t>
      </w:r>
      <w:r w:rsidRPr="000A0363">
        <w:rPr>
          <w:b/>
        </w:rPr>
        <w:t xml:space="preserve"> or more witnesses from opposing parties who must give and discuss their evidence concurrently</w:t>
      </w:r>
      <w:r w:rsidR="006B151D" w:rsidRPr="000A0363">
        <w:rPr>
          <w:b/>
        </w:rPr>
        <w:t xml:space="preserve"> (to be jointly paid by the parties)</w:t>
      </w:r>
      <w:r w:rsidR="00504E54" w:rsidRPr="000A0363">
        <w:rPr>
          <w:b/>
        </w:rPr>
        <w:t xml:space="preserve">.  </w:t>
      </w:r>
      <w:r w:rsidR="00FB493E">
        <w:rPr>
          <w:b/>
        </w:rPr>
        <w:t xml:space="preserve">   </w:t>
      </w:r>
      <w:r w:rsidR="00E6486C">
        <w:rPr>
          <w:b/>
        </w:rPr>
        <w:t>(R</w:t>
      </w:r>
      <w:r w:rsidRPr="000A0363">
        <w:rPr>
          <w:b/>
        </w:rPr>
        <w:t>efs. 3, 4, 5</w:t>
      </w:r>
      <w:r w:rsidR="00CD5EA1" w:rsidRPr="000A0363">
        <w:rPr>
          <w:b/>
        </w:rPr>
        <w:t>, 6</w:t>
      </w:r>
      <w:r w:rsidRPr="000A0363">
        <w:rPr>
          <w:b/>
        </w:rPr>
        <w:t>)</w:t>
      </w:r>
    </w:p>
    <w:p w14:paraId="223C9013" w14:textId="77777777" w:rsidR="00B37E91" w:rsidRPr="0034016F" w:rsidRDefault="00B37E91" w:rsidP="0034016F"/>
    <w:p w14:paraId="5DC25B63" w14:textId="6853F042" w:rsidR="008306D2" w:rsidRPr="00900728" w:rsidRDefault="004F77D2" w:rsidP="008306D2">
      <w:pPr>
        <w:rPr>
          <w:b/>
        </w:rPr>
      </w:pPr>
      <w:r>
        <w:rPr>
          <w:b/>
        </w:rPr>
        <w:t>8</w:t>
      </w:r>
      <w:r w:rsidR="008306D2" w:rsidRPr="00900728">
        <w:rPr>
          <w:b/>
        </w:rPr>
        <w:tab/>
      </w:r>
      <w:r w:rsidR="008306D2">
        <w:rPr>
          <w:b/>
        </w:rPr>
        <w:tab/>
      </w:r>
      <w:r w:rsidR="00326FCE">
        <w:rPr>
          <w:b/>
        </w:rPr>
        <w:t>Delete</w:t>
      </w:r>
      <w:r w:rsidR="008306D2" w:rsidRPr="00900728">
        <w:rPr>
          <w:b/>
        </w:rPr>
        <w:t xml:space="preserve"> failure (s79) appeals</w:t>
      </w:r>
      <w:r w:rsidR="00FB580B">
        <w:rPr>
          <w:b/>
        </w:rPr>
        <w:t>,</w:t>
      </w:r>
      <w:r w:rsidR="008306D2" w:rsidRPr="00900728">
        <w:rPr>
          <w:b/>
        </w:rPr>
        <w:t xml:space="preserve"> </w:t>
      </w:r>
      <w:r w:rsidR="00326FCE">
        <w:rPr>
          <w:b/>
        </w:rPr>
        <w:t xml:space="preserve">combined </w:t>
      </w:r>
      <w:r w:rsidR="008306D2" w:rsidRPr="00900728">
        <w:rPr>
          <w:b/>
        </w:rPr>
        <w:t>with the introduction of a sliding scale of prescribed timelines for counc</w:t>
      </w:r>
      <w:r w:rsidR="00FB580B">
        <w:rPr>
          <w:b/>
        </w:rPr>
        <w:t>il decisions (</w:t>
      </w:r>
      <w:proofErr w:type="spellStart"/>
      <w:r w:rsidR="00FB580B">
        <w:rPr>
          <w:b/>
        </w:rPr>
        <w:t>eg</w:t>
      </w:r>
      <w:proofErr w:type="spellEnd"/>
      <w:r w:rsidR="00FB580B">
        <w:rPr>
          <w:b/>
        </w:rPr>
        <w:t>, 30 – 90 days)</w:t>
      </w:r>
      <w:r w:rsidR="008306D2" w:rsidRPr="00900728">
        <w:rPr>
          <w:b/>
        </w:rPr>
        <w:t xml:space="preserve"> depending on the size and complexity of the development application. Penalties would be incurred by a Council for failure to decide after a further 30 days beyond the applicable time limit. </w:t>
      </w:r>
      <w:r w:rsidR="00081CD8">
        <w:rPr>
          <w:b/>
        </w:rPr>
        <w:t xml:space="preserve"> (See p</w:t>
      </w:r>
      <w:r w:rsidR="00E6486C">
        <w:rPr>
          <w:b/>
        </w:rPr>
        <w:t>oin</w:t>
      </w:r>
      <w:r w:rsidR="00081CD8">
        <w:rPr>
          <w:b/>
        </w:rPr>
        <w:t>t</w:t>
      </w:r>
      <w:r w:rsidR="00633C8D">
        <w:rPr>
          <w:b/>
        </w:rPr>
        <w:t xml:space="preserve"> </w:t>
      </w:r>
      <w:r w:rsidR="00326FCE">
        <w:rPr>
          <w:b/>
        </w:rPr>
        <w:t>9</w:t>
      </w:r>
      <w:r w:rsidR="00081CD8">
        <w:rPr>
          <w:b/>
        </w:rPr>
        <w:t>)</w:t>
      </w:r>
    </w:p>
    <w:p w14:paraId="654EE0F8" w14:textId="77777777" w:rsidR="006A1E39" w:rsidRDefault="006A1E39" w:rsidP="008306D2">
      <w:pPr>
        <w:rPr>
          <w:i/>
        </w:rPr>
      </w:pPr>
    </w:p>
    <w:p w14:paraId="0438BE0F" w14:textId="398F0B83" w:rsidR="008306D2" w:rsidRDefault="008306D2" w:rsidP="008306D2">
      <w:r w:rsidRPr="00C10AD4">
        <w:rPr>
          <w:i/>
        </w:rPr>
        <w:t>Unscrupulous develo</w:t>
      </w:r>
      <w:r>
        <w:rPr>
          <w:i/>
        </w:rPr>
        <w:t>pers typically lodge confusing</w:t>
      </w:r>
      <w:r w:rsidR="00FB580B">
        <w:rPr>
          <w:i/>
        </w:rPr>
        <w:t>, non-compliant</w:t>
      </w:r>
      <w:r>
        <w:rPr>
          <w:i/>
        </w:rPr>
        <w:t xml:space="preserve"> </w:t>
      </w:r>
      <w:r w:rsidRPr="00C10AD4">
        <w:rPr>
          <w:i/>
        </w:rPr>
        <w:t xml:space="preserve">&amp;/or incomplete </w:t>
      </w:r>
      <w:r>
        <w:rPr>
          <w:i/>
        </w:rPr>
        <w:t xml:space="preserve">applications, </w:t>
      </w:r>
      <w:r w:rsidRPr="00C10AD4">
        <w:rPr>
          <w:i/>
        </w:rPr>
        <w:t xml:space="preserve">to avoid a council decision within the present 60-day limit </w:t>
      </w:r>
      <w:r>
        <w:rPr>
          <w:i/>
        </w:rPr>
        <w:t>so the</w:t>
      </w:r>
      <w:r w:rsidR="00FB580B">
        <w:rPr>
          <w:i/>
        </w:rPr>
        <w:t>y can appeal the</w:t>
      </w:r>
      <w:r>
        <w:rPr>
          <w:i/>
        </w:rPr>
        <w:t xml:space="preserve"> case </w:t>
      </w:r>
      <w:r w:rsidRPr="00C10AD4">
        <w:rPr>
          <w:i/>
        </w:rPr>
        <w:t>straight to VCAT.  Technically, this is a breach of VCAT’s role, which is to act as a court of review, not primarily as a responsible authority</w:t>
      </w:r>
      <w:r>
        <w:rPr>
          <w:i/>
        </w:rPr>
        <w:t xml:space="preserve">.  Thus the earlier suggestion of former VCAT head Justice Morris to repatriate the council application fee to VCAT in failure appeals </w:t>
      </w:r>
      <w:r w:rsidR="006B151D">
        <w:rPr>
          <w:i/>
        </w:rPr>
        <w:t xml:space="preserve">is inappropriate and </w:t>
      </w:r>
      <w:r>
        <w:rPr>
          <w:i/>
        </w:rPr>
        <w:t>should not be considered</w:t>
      </w:r>
    </w:p>
    <w:p w14:paraId="0FDFF7CE" w14:textId="77777777" w:rsidR="008306D2" w:rsidRPr="0034016F" w:rsidRDefault="008306D2" w:rsidP="008306D2"/>
    <w:p w14:paraId="316BCDF0" w14:textId="77777777" w:rsidR="006A1E39" w:rsidRDefault="00326FCE" w:rsidP="00081CD8">
      <w:pPr>
        <w:rPr>
          <w:rFonts w:eastAsia="Times New Roman"/>
          <w:b/>
          <w:lang w:val="en-AU"/>
        </w:rPr>
      </w:pPr>
      <w:r w:rsidRPr="00192F77">
        <w:rPr>
          <w:b/>
          <w:bCs/>
          <w:lang w:val="en-AU"/>
        </w:rPr>
        <w:t>9</w:t>
      </w:r>
      <w:r w:rsidR="00081CD8" w:rsidRPr="00192F77">
        <w:rPr>
          <w:b/>
          <w:bCs/>
          <w:lang w:val="en-AU"/>
        </w:rPr>
        <w:tab/>
      </w:r>
      <w:r w:rsidR="00081CD8" w:rsidRPr="00192F77">
        <w:rPr>
          <w:b/>
          <w:bCs/>
          <w:lang w:val="en-AU"/>
        </w:rPr>
        <w:tab/>
      </w:r>
      <w:r w:rsidR="00192F77" w:rsidRPr="00192F77">
        <w:rPr>
          <w:b/>
        </w:rPr>
        <w:t>Rescind</w:t>
      </w:r>
      <w:r w:rsidR="00721E15">
        <w:rPr>
          <w:b/>
        </w:rPr>
        <w:t xml:space="preserve"> </w:t>
      </w:r>
      <w:r w:rsidR="00081CD8" w:rsidRPr="00192F77">
        <w:rPr>
          <w:b/>
        </w:rPr>
        <w:t>s115CA VCAT Act (</w:t>
      </w:r>
      <w:r w:rsidR="00081CD8" w:rsidRPr="00192F77">
        <w:rPr>
          <w:rFonts w:eastAsia="Times New Roman"/>
          <w:b/>
          <w:lang w:val="en-AU"/>
        </w:rPr>
        <w:t>reimbursement of applicant’s fees in s79 failure appeals)</w:t>
      </w:r>
      <w:r w:rsidR="00721E15">
        <w:rPr>
          <w:rFonts w:eastAsia="Times New Roman"/>
          <w:b/>
          <w:lang w:val="en-AU"/>
        </w:rPr>
        <w:t>, and</w:t>
      </w:r>
      <w:r w:rsidR="00192F77" w:rsidRPr="00192F77">
        <w:rPr>
          <w:b/>
        </w:rPr>
        <w:t xml:space="preserve"> Regulation 18 </w:t>
      </w:r>
      <w:r w:rsidR="00192F77">
        <w:rPr>
          <w:b/>
        </w:rPr>
        <w:t>(reduce time for seeking further information from 28 to 21 days under the</w:t>
      </w:r>
      <w:r w:rsidR="00192F77" w:rsidRPr="00192F77">
        <w:rPr>
          <w:b/>
        </w:rPr>
        <w:t xml:space="preserve"> proposed Planning and Environment Regulations</w:t>
      </w:r>
      <w:r w:rsidR="00192F77">
        <w:rPr>
          <w:b/>
        </w:rPr>
        <w:t>)</w:t>
      </w:r>
      <w:r w:rsidR="00081CD8" w:rsidRPr="00192F77">
        <w:rPr>
          <w:rFonts w:eastAsia="Times New Roman"/>
          <w:b/>
          <w:lang w:val="en-AU"/>
        </w:rPr>
        <w:t xml:space="preserve">.  </w:t>
      </w:r>
    </w:p>
    <w:p w14:paraId="0D3AD4DB" w14:textId="77777777" w:rsidR="006A1E39" w:rsidRDefault="006A1E39" w:rsidP="00081CD8">
      <w:pPr>
        <w:rPr>
          <w:rFonts w:eastAsia="Times New Roman"/>
          <w:b/>
          <w:lang w:val="en-AU"/>
        </w:rPr>
      </w:pPr>
    </w:p>
    <w:p w14:paraId="7E99AFAB" w14:textId="385DA336" w:rsidR="00081CD8" w:rsidRPr="00C039BF" w:rsidRDefault="00192F77" w:rsidP="00081CD8">
      <w:r>
        <w:rPr>
          <w:rFonts w:eastAsia="Times New Roman"/>
          <w:lang w:val="en-AU"/>
        </w:rPr>
        <w:t>These recent regulatory additions pressure</w:t>
      </w:r>
      <w:r w:rsidR="00081CD8" w:rsidRPr="00192F77">
        <w:rPr>
          <w:rFonts w:eastAsia="Times New Roman"/>
          <w:lang w:val="en-AU"/>
        </w:rPr>
        <w:t xml:space="preserve"> councils to make </w:t>
      </w:r>
      <w:r w:rsidR="00FB580B" w:rsidRPr="00192F77">
        <w:rPr>
          <w:rFonts w:eastAsia="Times New Roman"/>
          <w:lang w:val="en-AU"/>
        </w:rPr>
        <w:t xml:space="preserve">initial </w:t>
      </w:r>
      <w:r w:rsidR="00081CD8" w:rsidRPr="00192F77">
        <w:rPr>
          <w:rFonts w:eastAsia="Times New Roman"/>
          <w:lang w:val="en-AU"/>
        </w:rPr>
        <w:t xml:space="preserve">decisions within time </w:t>
      </w:r>
      <w:r w:rsidR="00FB580B" w:rsidRPr="00192F77">
        <w:rPr>
          <w:rFonts w:eastAsia="Times New Roman"/>
          <w:lang w:val="en-AU"/>
        </w:rPr>
        <w:t xml:space="preserve">to avoid financial penalties, </w:t>
      </w:r>
      <w:r w:rsidR="00081CD8" w:rsidRPr="00192F77">
        <w:rPr>
          <w:rFonts w:eastAsia="Times New Roman"/>
          <w:lang w:val="en-AU"/>
        </w:rPr>
        <w:t xml:space="preserve">even if this means rushing the assessment.  </w:t>
      </w:r>
      <w:r w:rsidR="00FB580B" w:rsidRPr="00192F77">
        <w:rPr>
          <w:rFonts w:eastAsia="Times New Roman"/>
          <w:lang w:val="en-AU"/>
        </w:rPr>
        <w:t>P</w:t>
      </w:r>
      <w:r w:rsidRPr="00192F77">
        <w:rPr>
          <w:rFonts w:eastAsia="Times New Roman"/>
          <w:lang w:val="en-AU"/>
        </w:rPr>
        <w:t>IA has recommended against Reg.18, particularly in tandem with s115CA (ref.20</w:t>
      </w:r>
      <w:proofErr w:type="gramStart"/>
      <w:r w:rsidRPr="00192F77">
        <w:rPr>
          <w:rFonts w:eastAsia="Times New Roman"/>
          <w:lang w:val="en-AU"/>
        </w:rPr>
        <w:t xml:space="preserve">)  </w:t>
      </w:r>
      <w:r w:rsidR="00081CD8" w:rsidRPr="00192F77">
        <w:rPr>
          <w:rFonts w:eastAsia="Times New Roman"/>
          <w:lang w:val="en-AU"/>
        </w:rPr>
        <w:t>Better</w:t>
      </w:r>
      <w:proofErr w:type="gramEnd"/>
      <w:r w:rsidR="00081CD8" w:rsidRPr="00192F77">
        <w:rPr>
          <w:rFonts w:eastAsia="Times New Roman"/>
          <w:lang w:val="en-AU"/>
        </w:rPr>
        <w:t xml:space="preserve"> outcomes would be achieved if instead councils </w:t>
      </w:r>
      <w:r w:rsidR="006A1E39">
        <w:rPr>
          <w:rFonts w:eastAsia="Times New Roman"/>
          <w:lang w:val="en-AU"/>
        </w:rPr>
        <w:t>were given</w:t>
      </w:r>
      <w:r w:rsidR="00081CD8" w:rsidRPr="00192F77">
        <w:rPr>
          <w:rFonts w:eastAsia="Times New Roman"/>
          <w:lang w:val="en-AU"/>
        </w:rPr>
        <w:t xml:space="preserve"> longer timeframes for deciding complex</w:t>
      </w:r>
      <w:r w:rsidR="00721E15">
        <w:rPr>
          <w:rFonts w:eastAsia="Times New Roman"/>
          <w:lang w:val="en-AU"/>
        </w:rPr>
        <w:t xml:space="preserve"> cases, balanced with </w:t>
      </w:r>
      <w:r w:rsidR="00081CD8" w:rsidRPr="00192F77">
        <w:rPr>
          <w:rFonts w:eastAsia="Times New Roman"/>
          <w:lang w:val="en-AU"/>
        </w:rPr>
        <w:t>shorter times for simple cases.</w:t>
      </w:r>
    </w:p>
    <w:p w14:paraId="68F52F20" w14:textId="77777777" w:rsidR="00081CD8" w:rsidRDefault="00081CD8" w:rsidP="0034016F">
      <w:pPr>
        <w:rPr>
          <w:b/>
        </w:rPr>
      </w:pPr>
    </w:p>
    <w:p w14:paraId="4BD6BB63" w14:textId="1D34A294" w:rsidR="00721E15" w:rsidRDefault="00721E15" w:rsidP="00721E15">
      <w:pPr>
        <w:rPr>
          <w:b/>
        </w:rPr>
      </w:pPr>
      <w:r>
        <w:rPr>
          <w:b/>
        </w:rPr>
        <w:t>10</w:t>
      </w:r>
      <w:r w:rsidRPr="00900728">
        <w:rPr>
          <w:b/>
        </w:rPr>
        <w:tab/>
      </w:r>
      <w:r>
        <w:rPr>
          <w:b/>
        </w:rPr>
        <w:tab/>
      </w:r>
      <w:r w:rsidRPr="00900728">
        <w:rPr>
          <w:b/>
        </w:rPr>
        <w:t xml:space="preserve">VCAT </w:t>
      </w:r>
      <w:r>
        <w:rPr>
          <w:b/>
        </w:rPr>
        <w:t>should</w:t>
      </w:r>
      <w:r w:rsidRPr="00900728">
        <w:rPr>
          <w:b/>
        </w:rPr>
        <w:t xml:space="preserve"> become a “one-stop-shop”</w:t>
      </w:r>
      <w:r>
        <w:rPr>
          <w:b/>
        </w:rPr>
        <w:t xml:space="preserve"> for enforcement cases, including </w:t>
      </w:r>
      <w:r w:rsidRPr="00900728">
        <w:rPr>
          <w:b/>
        </w:rPr>
        <w:t xml:space="preserve">assuming the powers of a magistrate’s court to award </w:t>
      </w:r>
      <w:r>
        <w:rPr>
          <w:b/>
        </w:rPr>
        <w:t xml:space="preserve">costs. </w:t>
      </w:r>
      <w:r w:rsidR="006A1E39">
        <w:rPr>
          <w:b/>
        </w:rPr>
        <w:t xml:space="preserve"> </w:t>
      </w:r>
      <w:r w:rsidR="006A1E39" w:rsidRPr="006A1E39">
        <w:rPr>
          <w:b/>
        </w:rPr>
        <w:t>F</w:t>
      </w:r>
      <w:r w:rsidR="006A1E39">
        <w:rPr>
          <w:b/>
        </w:rPr>
        <w:t xml:space="preserve">ollows </w:t>
      </w:r>
      <w:r w:rsidRPr="006A1E39">
        <w:rPr>
          <w:b/>
        </w:rPr>
        <w:t>recommendations of the Planning Enforcement Officers Association</w:t>
      </w:r>
      <w:r w:rsidRPr="00721E15">
        <w:t xml:space="preserve"> </w:t>
      </w:r>
      <w:r w:rsidRPr="00900728">
        <w:rPr>
          <w:b/>
        </w:rPr>
        <w:t xml:space="preserve"> </w:t>
      </w:r>
      <w:r w:rsidR="00E6486C">
        <w:rPr>
          <w:b/>
        </w:rPr>
        <w:t xml:space="preserve">    </w:t>
      </w:r>
      <w:r w:rsidRPr="00900728">
        <w:rPr>
          <w:b/>
        </w:rPr>
        <w:t>(</w:t>
      </w:r>
      <w:r w:rsidR="00E6486C">
        <w:rPr>
          <w:b/>
        </w:rPr>
        <w:t>R</w:t>
      </w:r>
      <w:r>
        <w:rPr>
          <w:b/>
        </w:rPr>
        <w:t xml:space="preserve">efs. 10, </w:t>
      </w:r>
      <w:r w:rsidRPr="00900728">
        <w:rPr>
          <w:b/>
        </w:rPr>
        <w:t>11</w:t>
      </w:r>
      <w:r>
        <w:rPr>
          <w:b/>
        </w:rPr>
        <w:t>, 12</w:t>
      </w:r>
      <w:r w:rsidRPr="00900728">
        <w:rPr>
          <w:b/>
        </w:rPr>
        <w:t xml:space="preserve">) </w:t>
      </w:r>
    </w:p>
    <w:p w14:paraId="07DFB24A" w14:textId="77777777" w:rsidR="00721E15" w:rsidRPr="0034016F" w:rsidRDefault="00721E15" w:rsidP="00721E15"/>
    <w:p w14:paraId="6C43A128" w14:textId="77777777" w:rsidR="006A1E39" w:rsidRDefault="00721E15" w:rsidP="00326FCE">
      <w:pPr>
        <w:rPr>
          <w:b/>
          <w:bCs/>
          <w:lang w:val="en-AU"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  <w:t xml:space="preserve">Rescind </w:t>
      </w:r>
      <w:r w:rsidR="00326FCE">
        <w:rPr>
          <w:b/>
        </w:rPr>
        <w:t xml:space="preserve">s51A VCAT Act (Tribunal </w:t>
      </w:r>
      <w:r w:rsidR="00326FCE" w:rsidRPr="000A0363">
        <w:rPr>
          <w:b/>
        </w:rPr>
        <w:t xml:space="preserve">may </w:t>
      </w:r>
      <w:r w:rsidR="00326FCE" w:rsidRPr="000A0363">
        <w:rPr>
          <w:b/>
          <w:bCs/>
          <w:lang w:val="en-AU"/>
        </w:rPr>
        <w:t>invi</w:t>
      </w:r>
      <w:r w:rsidR="006A1E39">
        <w:rPr>
          <w:b/>
          <w:bCs/>
          <w:lang w:val="en-AU"/>
        </w:rPr>
        <w:t>te decision-maker to reconsider)</w:t>
      </w:r>
    </w:p>
    <w:p w14:paraId="70CCCD45" w14:textId="77777777" w:rsidR="006A1E39" w:rsidRDefault="006A1E39" w:rsidP="00326FCE">
      <w:pPr>
        <w:rPr>
          <w:bCs/>
          <w:lang w:val="en-AU"/>
        </w:rPr>
      </w:pPr>
    </w:p>
    <w:p w14:paraId="7630A209" w14:textId="798A5EBC" w:rsidR="00326FCE" w:rsidRPr="00081CD8" w:rsidRDefault="00326FCE" w:rsidP="00326FCE">
      <w:pPr>
        <w:rPr>
          <w:bCs/>
          <w:lang w:val="en-AU"/>
        </w:rPr>
      </w:pPr>
      <w:r w:rsidRPr="00081CD8">
        <w:rPr>
          <w:bCs/>
          <w:lang w:val="en-AU"/>
        </w:rPr>
        <w:t xml:space="preserve">This </w:t>
      </w:r>
      <w:r w:rsidR="00721E15">
        <w:rPr>
          <w:bCs/>
          <w:lang w:val="en-AU"/>
        </w:rPr>
        <w:t xml:space="preserve">recent change </w:t>
      </w:r>
      <w:r w:rsidRPr="00081CD8">
        <w:rPr>
          <w:bCs/>
          <w:lang w:val="en-AU"/>
        </w:rPr>
        <w:t xml:space="preserve">applies pressure on councils to compromise </w:t>
      </w:r>
      <w:r w:rsidR="00721E15">
        <w:rPr>
          <w:bCs/>
          <w:lang w:val="en-AU"/>
        </w:rPr>
        <w:t xml:space="preserve">in cases where they have refused an application </w:t>
      </w:r>
      <w:r w:rsidRPr="00081CD8">
        <w:rPr>
          <w:bCs/>
          <w:lang w:val="en-AU"/>
        </w:rPr>
        <w:t xml:space="preserve">and is </w:t>
      </w:r>
      <w:r w:rsidR="00721E15">
        <w:rPr>
          <w:bCs/>
          <w:lang w:val="en-AU"/>
        </w:rPr>
        <w:t xml:space="preserve">thus </w:t>
      </w:r>
      <w:r w:rsidRPr="00081CD8">
        <w:rPr>
          <w:bCs/>
          <w:lang w:val="en-AU"/>
        </w:rPr>
        <w:t xml:space="preserve">likely to further favour developers.  If </w:t>
      </w:r>
      <w:r w:rsidR="00721E15">
        <w:rPr>
          <w:bCs/>
          <w:lang w:val="en-AU"/>
        </w:rPr>
        <w:t>a developer is intent on fighting a case and not been prepared to compromise sufficiently at mediation</w:t>
      </w:r>
      <w:r w:rsidRPr="00081CD8">
        <w:rPr>
          <w:bCs/>
          <w:lang w:val="en-AU"/>
        </w:rPr>
        <w:t xml:space="preserve">, councils </w:t>
      </w:r>
      <w:r>
        <w:rPr>
          <w:bCs/>
          <w:lang w:val="en-AU"/>
        </w:rPr>
        <w:t xml:space="preserve">must </w:t>
      </w:r>
      <w:r w:rsidR="00E6486C">
        <w:rPr>
          <w:bCs/>
          <w:lang w:val="en-AU"/>
        </w:rPr>
        <w:t>not be undermined in</w:t>
      </w:r>
      <w:r w:rsidR="00721E15">
        <w:rPr>
          <w:bCs/>
          <w:lang w:val="en-AU"/>
        </w:rPr>
        <w:t xml:space="preserve"> </w:t>
      </w:r>
      <w:r w:rsidRPr="00081CD8">
        <w:rPr>
          <w:bCs/>
          <w:lang w:val="en-AU"/>
        </w:rPr>
        <w:t>maintain</w:t>
      </w:r>
      <w:r w:rsidR="00E6486C">
        <w:rPr>
          <w:bCs/>
          <w:lang w:val="en-AU"/>
        </w:rPr>
        <w:t>ing</w:t>
      </w:r>
      <w:r w:rsidRPr="00081CD8">
        <w:rPr>
          <w:bCs/>
          <w:lang w:val="en-AU"/>
        </w:rPr>
        <w:t xml:space="preserve"> their legal stance</w:t>
      </w:r>
      <w:r>
        <w:rPr>
          <w:bCs/>
          <w:lang w:val="en-AU"/>
        </w:rPr>
        <w:t xml:space="preserve"> at VCAT hearings.</w:t>
      </w:r>
    </w:p>
    <w:p w14:paraId="42C5235D" w14:textId="77777777" w:rsidR="00326FCE" w:rsidRPr="00081CD8" w:rsidRDefault="00326FCE" w:rsidP="00326FCE">
      <w:pPr>
        <w:rPr>
          <w:bCs/>
          <w:lang w:val="en-AU"/>
        </w:rPr>
      </w:pPr>
    </w:p>
    <w:p w14:paraId="4C613F04" w14:textId="77777777" w:rsidR="006A1E39" w:rsidRDefault="004F77D2" w:rsidP="0034016F">
      <w:r>
        <w:rPr>
          <w:b/>
        </w:rPr>
        <w:t>1</w:t>
      </w:r>
      <w:r w:rsidR="00326FCE">
        <w:rPr>
          <w:b/>
        </w:rPr>
        <w:t>2</w:t>
      </w:r>
      <w:r w:rsidR="0034016F" w:rsidRPr="00900728">
        <w:rPr>
          <w:b/>
        </w:rPr>
        <w:tab/>
      </w:r>
      <w:r w:rsidR="003A2439">
        <w:rPr>
          <w:b/>
        </w:rPr>
        <w:tab/>
      </w:r>
      <w:r w:rsidR="00DA73D5" w:rsidRPr="00900728">
        <w:rPr>
          <w:b/>
        </w:rPr>
        <w:t xml:space="preserve">Weight placed </w:t>
      </w:r>
      <w:r w:rsidR="00C3032E" w:rsidRPr="00900728">
        <w:rPr>
          <w:b/>
        </w:rPr>
        <w:t xml:space="preserve">by Members </w:t>
      </w:r>
      <w:r w:rsidR="00DA73D5" w:rsidRPr="00900728">
        <w:rPr>
          <w:b/>
        </w:rPr>
        <w:t xml:space="preserve">on Delegate Reports </w:t>
      </w:r>
      <w:r w:rsidR="00C3032E" w:rsidRPr="00900728">
        <w:rPr>
          <w:b/>
        </w:rPr>
        <w:t xml:space="preserve">should </w:t>
      </w:r>
      <w:r w:rsidR="00DA73D5" w:rsidRPr="00900728">
        <w:rPr>
          <w:b/>
        </w:rPr>
        <w:t xml:space="preserve">only </w:t>
      </w:r>
      <w:r w:rsidR="00C3032E" w:rsidRPr="00900728">
        <w:rPr>
          <w:b/>
        </w:rPr>
        <w:t>be to the degree</w:t>
      </w:r>
      <w:r w:rsidR="00DA73D5" w:rsidRPr="00900728">
        <w:rPr>
          <w:b/>
        </w:rPr>
        <w:t xml:space="preserve"> justified by </w:t>
      </w:r>
      <w:r w:rsidR="00FF705D" w:rsidRPr="00900728">
        <w:rPr>
          <w:b/>
        </w:rPr>
        <w:t xml:space="preserve">the </w:t>
      </w:r>
      <w:r w:rsidR="00DA73D5" w:rsidRPr="00900728">
        <w:rPr>
          <w:b/>
        </w:rPr>
        <w:t xml:space="preserve">empirical evidence </w:t>
      </w:r>
      <w:r w:rsidR="00FF705D" w:rsidRPr="00900728">
        <w:rPr>
          <w:b/>
        </w:rPr>
        <w:t xml:space="preserve">presented </w:t>
      </w:r>
      <w:r w:rsidR="00DA73D5" w:rsidRPr="00900728">
        <w:rPr>
          <w:b/>
        </w:rPr>
        <w:t>at VCAT hearings</w:t>
      </w:r>
      <w:r w:rsidR="00633C8D">
        <w:rPr>
          <w:b/>
        </w:rPr>
        <w:t>.</w:t>
      </w:r>
      <w:r w:rsidR="00633C8D" w:rsidRPr="00633C8D">
        <w:t xml:space="preserve">  </w:t>
      </w:r>
    </w:p>
    <w:p w14:paraId="362627AC" w14:textId="77777777" w:rsidR="006A1E39" w:rsidRDefault="006A1E39" w:rsidP="0034016F"/>
    <w:p w14:paraId="6074FD50" w14:textId="49BB6BDF" w:rsidR="00DA73D5" w:rsidRPr="00633C8D" w:rsidRDefault="00633C8D" w:rsidP="0034016F">
      <w:r w:rsidRPr="00633C8D">
        <w:t>VCAT has traditionally relied on the</w:t>
      </w:r>
      <w:r w:rsidR="00E24F64" w:rsidRPr="00633C8D">
        <w:t xml:space="preserve"> </w:t>
      </w:r>
      <w:r>
        <w:t xml:space="preserve">accuracy of council development assessment reports but evidence </w:t>
      </w:r>
      <w:r w:rsidR="00446A13">
        <w:t xml:space="preserve">from VAGO and many case hearings has demonstrated that these reports may contain significant errors, omissions and bias – another reason to make existing controls more mandatory </w:t>
      </w:r>
      <w:r w:rsidR="001D27B9">
        <w:t xml:space="preserve">   </w:t>
      </w:r>
      <w:r w:rsidR="00E6486C">
        <w:t xml:space="preserve">  </w:t>
      </w:r>
      <w:r w:rsidR="00E24F64" w:rsidRPr="00446A13">
        <w:rPr>
          <w:b/>
        </w:rPr>
        <w:t>(</w:t>
      </w:r>
      <w:r w:rsidR="00E6486C">
        <w:rPr>
          <w:b/>
        </w:rPr>
        <w:t>R</w:t>
      </w:r>
      <w:r w:rsidR="00900728" w:rsidRPr="00446A13">
        <w:rPr>
          <w:b/>
        </w:rPr>
        <w:t xml:space="preserve">ef. </w:t>
      </w:r>
      <w:r w:rsidR="00CD5EA1" w:rsidRPr="00446A13">
        <w:rPr>
          <w:b/>
        </w:rPr>
        <w:t>9</w:t>
      </w:r>
      <w:r w:rsidR="005D03A7" w:rsidRPr="00446A13">
        <w:rPr>
          <w:b/>
        </w:rPr>
        <w:t>)</w:t>
      </w:r>
    </w:p>
    <w:p w14:paraId="04257BE5" w14:textId="77777777" w:rsidR="00662FDD" w:rsidRDefault="00662FDD" w:rsidP="0034016F">
      <w:pPr>
        <w:rPr>
          <w:b/>
        </w:rPr>
      </w:pPr>
    </w:p>
    <w:p w14:paraId="02440F33" w14:textId="326AC59B" w:rsidR="00D9517B" w:rsidRDefault="00326FCE" w:rsidP="00D9517B">
      <w:pPr>
        <w:rPr>
          <w:b/>
        </w:rPr>
      </w:pPr>
      <w:r>
        <w:rPr>
          <w:b/>
        </w:rPr>
        <w:t>13</w:t>
      </w:r>
      <w:r w:rsidR="00662FDD" w:rsidRPr="00D9517B">
        <w:rPr>
          <w:b/>
        </w:rPr>
        <w:tab/>
      </w:r>
      <w:r w:rsidR="00662FDD" w:rsidRPr="00D9517B">
        <w:rPr>
          <w:b/>
        </w:rPr>
        <w:tab/>
      </w:r>
      <w:r w:rsidR="006C4954" w:rsidRPr="00D9517B">
        <w:rPr>
          <w:b/>
        </w:rPr>
        <w:t>Provide same-day</w:t>
      </w:r>
      <w:r w:rsidR="001F506B" w:rsidRPr="00D9517B">
        <w:rPr>
          <w:b/>
        </w:rPr>
        <w:t xml:space="preserve"> </w:t>
      </w:r>
      <w:r w:rsidR="00DA73D5" w:rsidRPr="00D9517B">
        <w:rPr>
          <w:b/>
        </w:rPr>
        <w:t xml:space="preserve">availability </w:t>
      </w:r>
      <w:r w:rsidR="006226B7" w:rsidRPr="00D9517B">
        <w:rPr>
          <w:b/>
        </w:rPr>
        <w:t xml:space="preserve">to the parties </w:t>
      </w:r>
      <w:r w:rsidR="00DA73D5" w:rsidRPr="00D9517B">
        <w:rPr>
          <w:b/>
        </w:rPr>
        <w:t xml:space="preserve">of audio CDs of </w:t>
      </w:r>
      <w:r w:rsidR="00662FDD" w:rsidRPr="00D9517B">
        <w:rPr>
          <w:b/>
        </w:rPr>
        <w:t xml:space="preserve">VCAT </w:t>
      </w:r>
      <w:r w:rsidR="006C4954" w:rsidRPr="00D9517B">
        <w:rPr>
          <w:b/>
        </w:rPr>
        <w:t>hearings to</w:t>
      </w:r>
      <w:r w:rsidR="00FF705D" w:rsidRPr="00D9517B">
        <w:rPr>
          <w:b/>
        </w:rPr>
        <w:t xml:space="preserve"> </w:t>
      </w:r>
      <w:r w:rsidR="006C4954" w:rsidRPr="00D9517B">
        <w:rPr>
          <w:b/>
        </w:rPr>
        <w:t xml:space="preserve">enable rapid review of a day’s proceedings for objectors inexperienced in tribunal process so as to inform preparation of presentations or cross-examination for subsequent hearing day(s).  Alternatively, allow parties (with prior notice) to make their own unofficial recordings of hearings for this purpose </w:t>
      </w:r>
      <w:r w:rsidR="00E6486C">
        <w:rPr>
          <w:b/>
        </w:rPr>
        <w:t xml:space="preserve">           </w:t>
      </w:r>
      <w:r w:rsidR="00E24F64" w:rsidRPr="00D9517B">
        <w:rPr>
          <w:b/>
        </w:rPr>
        <w:t>(</w:t>
      </w:r>
      <w:r w:rsidR="00E6486C">
        <w:rPr>
          <w:b/>
        </w:rPr>
        <w:t>R</w:t>
      </w:r>
      <w:r w:rsidR="00900728" w:rsidRPr="00D9517B">
        <w:rPr>
          <w:b/>
        </w:rPr>
        <w:t xml:space="preserve">ef. </w:t>
      </w:r>
      <w:r w:rsidR="00E24F64" w:rsidRPr="00D9517B">
        <w:rPr>
          <w:b/>
        </w:rPr>
        <w:t>1</w:t>
      </w:r>
      <w:r w:rsidR="00CD5EA1" w:rsidRPr="00D9517B">
        <w:rPr>
          <w:b/>
        </w:rPr>
        <w:t>3</w:t>
      </w:r>
      <w:r w:rsidR="00D9517B">
        <w:rPr>
          <w:b/>
        </w:rPr>
        <w:t>, 19</w:t>
      </w:r>
      <w:r w:rsidR="005D03A7" w:rsidRPr="00D9517B">
        <w:rPr>
          <w:b/>
        </w:rPr>
        <w:t>)</w:t>
      </w:r>
      <w:r w:rsidR="00135222" w:rsidRPr="00D9517B">
        <w:rPr>
          <w:b/>
        </w:rPr>
        <w:t xml:space="preserve">.  </w:t>
      </w:r>
    </w:p>
    <w:p w14:paraId="7BEBBD75" w14:textId="77777777" w:rsidR="006A1E39" w:rsidRDefault="006A1E39" w:rsidP="00D9517B"/>
    <w:p w14:paraId="0351936D" w14:textId="2E3A94B9" w:rsidR="00DA73D5" w:rsidRPr="00D9517B" w:rsidRDefault="00135222" w:rsidP="00D9517B">
      <w:r w:rsidRPr="00D9517B">
        <w:t xml:space="preserve">VCAT members </w:t>
      </w:r>
      <w:r w:rsidR="00D9517B">
        <w:t>can</w:t>
      </w:r>
      <w:r w:rsidRPr="00D9517B">
        <w:t xml:space="preserve"> allow</w:t>
      </w:r>
      <w:r w:rsidR="00D9517B" w:rsidRPr="00D9517B">
        <w:t xml:space="preserve"> this </w:t>
      </w:r>
      <w:r w:rsidR="00D9517B">
        <w:t>if</w:t>
      </w:r>
      <w:r w:rsidR="00D9517B" w:rsidRPr="00D9517B">
        <w:t xml:space="preserve"> it </w:t>
      </w:r>
      <w:r w:rsidR="001E18F0">
        <w:t>“</w:t>
      </w:r>
      <w:r w:rsidR="00D9517B" w:rsidRPr="00D9517B">
        <w:t xml:space="preserve">does not interfere </w:t>
      </w:r>
      <w:r w:rsidR="00D9517B" w:rsidRPr="00D9517B">
        <w:rPr>
          <w:lang w:eastAsia="ja-JP"/>
        </w:rPr>
        <w:t>with the proper administration of justice</w:t>
      </w:r>
      <w:r w:rsidR="001E18F0">
        <w:rPr>
          <w:lang w:eastAsia="ja-JP"/>
        </w:rPr>
        <w:t>”</w:t>
      </w:r>
      <w:r w:rsidR="00D9517B" w:rsidRPr="00D9517B">
        <w:rPr>
          <w:lang w:eastAsia="ja-JP"/>
        </w:rPr>
        <w:t xml:space="preserve">.  </w:t>
      </w:r>
      <w:r w:rsidR="00D9517B" w:rsidRPr="00D9517B">
        <w:t xml:space="preserve"> </w:t>
      </w:r>
      <w:r w:rsidRPr="00D9517B">
        <w:t xml:space="preserve">Both remedies would also improve </w:t>
      </w:r>
      <w:r w:rsidR="00D9517B">
        <w:t>VCAT</w:t>
      </w:r>
      <w:r w:rsidRPr="00D9517B">
        <w:t xml:space="preserve"> accountability (</w:t>
      </w:r>
      <w:r w:rsidR="00D9517B" w:rsidRPr="00D9517B">
        <w:t xml:space="preserve">hearings </w:t>
      </w:r>
      <w:r w:rsidRPr="00D9517B">
        <w:t xml:space="preserve">are already open to the public), although </w:t>
      </w:r>
      <w:r w:rsidR="00D9517B">
        <w:t>such recordings</w:t>
      </w:r>
      <w:r w:rsidRPr="00D9517B">
        <w:t xml:space="preserve"> </w:t>
      </w:r>
      <w:r w:rsidR="00D9517B">
        <w:t>are</w:t>
      </w:r>
      <w:r w:rsidRPr="00D9517B">
        <w:t xml:space="preserve"> </w:t>
      </w:r>
      <w:r w:rsidR="004031FC">
        <w:t xml:space="preserve">not </w:t>
      </w:r>
      <w:r w:rsidRPr="00D9517B">
        <w:t>official records suitable for legal use (</w:t>
      </w:r>
      <w:proofErr w:type="spellStart"/>
      <w:r w:rsidRPr="00D9517B">
        <w:t>eg</w:t>
      </w:r>
      <w:proofErr w:type="spellEnd"/>
      <w:r w:rsidRPr="00D9517B">
        <w:t>, as evidence in appeals).</w:t>
      </w:r>
    </w:p>
    <w:p w14:paraId="6B9173E5" w14:textId="77777777" w:rsidR="00DA73D5" w:rsidRPr="00D9517B" w:rsidRDefault="00DA73D5" w:rsidP="00D9517B"/>
    <w:p w14:paraId="3332BFF6" w14:textId="48DA6FDF" w:rsidR="0034016F" w:rsidRPr="00900728" w:rsidRDefault="00C00E25" w:rsidP="0034016F">
      <w:pPr>
        <w:rPr>
          <w:b/>
        </w:rPr>
      </w:pPr>
      <w:r>
        <w:rPr>
          <w:b/>
        </w:rPr>
        <w:t>1</w:t>
      </w:r>
      <w:r w:rsidR="00326FCE">
        <w:rPr>
          <w:b/>
        </w:rPr>
        <w:t>4</w:t>
      </w:r>
      <w:r w:rsidR="0034016F" w:rsidRPr="00900728">
        <w:rPr>
          <w:b/>
        </w:rPr>
        <w:tab/>
      </w:r>
      <w:r w:rsidR="003A2439">
        <w:rPr>
          <w:b/>
        </w:rPr>
        <w:tab/>
      </w:r>
      <w:r w:rsidR="005D03A7" w:rsidRPr="00900728">
        <w:rPr>
          <w:b/>
        </w:rPr>
        <w:t xml:space="preserve">Restore more accountability </w:t>
      </w:r>
      <w:r w:rsidR="00B619AA">
        <w:rPr>
          <w:b/>
        </w:rPr>
        <w:t xml:space="preserve">and transparency </w:t>
      </w:r>
      <w:r w:rsidR="005D03A7" w:rsidRPr="00900728">
        <w:rPr>
          <w:b/>
        </w:rPr>
        <w:t>to VCAT by reinstating</w:t>
      </w:r>
      <w:r w:rsidR="0034016F" w:rsidRPr="00900728">
        <w:rPr>
          <w:b/>
        </w:rPr>
        <w:t xml:space="preserve"> the yearly publication of </w:t>
      </w:r>
      <w:r w:rsidR="00EA6887">
        <w:rPr>
          <w:b/>
        </w:rPr>
        <w:t xml:space="preserve">detailed </w:t>
      </w:r>
      <w:r w:rsidR="0034016F" w:rsidRPr="00900728">
        <w:rPr>
          <w:b/>
        </w:rPr>
        <w:t>Planning List case statistics</w:t>
      </w:r>
      <w:r w:rsidR="00720CFB">
        <w:rPr>
          <w:b/>
        </w:rPr>
        <w:t xml:space="preserve"> (</w:t>
      </w:r>
      <w:r w:rsidR="00EA6887">
        <w:rPr>
          <w:b/>
        </w:rPr>
        <w:t>discontinued after</w:t>
      </w:r>
      <w:r w:rsidR="0034016F" w:rsidRPr="00900728">
        <w:rPr>
          <w:b/>
        </w:rPr>
        <w:t xml:space="preserve"> </w:t>
      </w:r>
      <w:r w:rsidR="005D03A7" w:rsidRPr="00900728">
        <w:rPr>
          <w:b/>
        </w:rPr>
        <w:t>2009</w:t>
      </w:r>
      <w:r w:rsidR="00720CFB">
        <w:rPr>
          <w:b/>
        </w:rPr>
        <w:t>)</w:t>
      </w:r>
    </w:p>
    <w:p w14:paraId="3CFB1E54" w14:textId="77777777" w:rsidR="0034016F" w:rsidRDefault="0034016F" w:rsidP="0034016F"/>
    <w:p w14:paraId="330209E5" w14:textId="1C6B4EA2" w:rsidR="00DA73D5" w:rsidRPr="00900728" w:rsidRDefault="00326FCE" w:rsidP="0034016F">
      <w:pPr>
        <w:rPr>
          <w:b/>
        </w:rPr>
      </w:pPr>
      <w:r>
        <w:rPr>
          <w:b/>
        </w:rPr>
        <w:t>15</w:t>
      </w:r>
      <w:r w:rsidR="00DA73D5" w:rsidRPr="00900728">
        <w:rPr>
          <w:b/>
        </w:rPr>
        <w:tab/>
      </w:r>
      <w:r w:rsidR="003A2439">
        <w:rPr>
          <w:b/>
        </w:rPr>
        <w:tab/>
      </w:r>
      <w:proofErr w:type="spellStart"/>
      <w:r w:rsidR="00DA73D5" w:rsidRPr="00900728">
        <w:rPr>
          <w:b/>
        </w:rPr>
        <w:t>Equalise</w:t>
      </w:r>
      <w:proofErr w:type="spellEnd"/>
      <w:r w:rsidR="00DA73D5" w:rsidRPr="00900728">
        <w:rPr>
          <w:b/>
        </w:rPr>
        <w:t xml:space="preserve"> time limits for permit applicants &amp; objectors for lodging appeals </w:t>
      </w:r>
    </w:p>
    <w:p w14:paraId="70426430" w14:textId="77777777" w:rsidR="00DA73D5" w:rsidRPr="0034016F" w:rsidRDefault="00DA73D5" w:rsidP="0034016F"/>
    <w:p w14:paraId="3E0A8903" w14:textId="1C8AD989" w:rsidR="00DA73D5" w:rsidRPr="00900728" w:rsidRDefault="00326FCE" w:rsidP="0034016F">
      <w:pPr>
        <w:rPr>
          <w:b/>
        </w:rPr>
      </w:pPr>
      <w:r>
        <w:rPr>
          <w:b/>
        </w:rPr>
        <w:t>16</w:t>
      </w:r>
      <w:r w:rsidR="00DA73D5" w:rsidRPr="00900728">
        <w:rPr>
          <w:b/>
        </w:rPr>
        <w:tab/>
      </w:r>
      <w:r w:rsidR="003A2439">
        <w:rPr>
          <w:b/>
        </w:rPr>
        <w:tab/>
      </w:r>
      <w:r w:rsidR="00DA73D5" w:rsidRPr="00900728">
        <w:rPr>
          <w:b/>
        </w:rPr>
        <w:t>Tighten wording of permits and conditions</w:t>
      </w:r>
      <w:r w:rsidR="005173A0">
        <w:rPr>
          <w:b/>
        </w:rPr>
        <w:t>, and require all changes</w:t>
      </w:r>
      <w:r w:rsidR="00E24F64" w:rsidRPr="00900728">
        <w:rPr>
          <w:b/>
        </w:rPr>
        <w:t xml:space="preserve"> </w:t>
      </w:r>
      <w:r w:rsidR="005173A0">
        <w:rPr>
          <w:b/>
        </w:rPr>
        <w:t xml:space="preserve">suggested to plans in VCAT hearings </w:t>
      </w:r>
      <w:r w:rsidR="00446A13">
        <w:rPr>
          <w:b/>
        </w:rPr>
        <w:t xml:space="preserve">to </w:t>
      </w:r>
      <w:r w:rsidR="005173A0">
        <w:rPr>
          <w:b/>
        </w:rPr>
        <w:t xml:space="preserve">be reflected in modified specific conditions if VCAT accepted the changes as appropriate, either during the hearing or later during its deliberations </w:t>
      </w:r>
      <w:r w:rsidR="00E6486C">
        <w:rPr>
          <w:b/>
        </w:rPr>
        <w:t xml:space="preserve"> </w:t>
      </w:r>
      <w:r w:rsidR="00E24F64" w:rsidRPr="00900728">
        <w:rPr>
          <w:b/>
        </w:rPr>
        <w:t>(</w:t>
      </w:r>
      <w:r w:rsidR="00E6486C">
        <w:rPr>
          <w:b/>
        </w:rPr>
        <w:t>R</w:t>
      </w:r>
      <w:r w:rsidR="00900728">
        <w:rPr>
          <w:b/>
        </w:rPr>
        <w:t xml:space="preserve">ef. </w:t>
      </w:r>
      <w:r w:rsidR="00633C8D">
        <w:rPr>
          <w:b/>
        </w:rPr>
        <w:t xml:space="preserve">9, </w:t>
      </w:r>
      <w:r w:rsidR="00865C3A">
        <w:rPr>
          <w:b/>
        </w:rPr>
        <w:t>1</w:t>
      </w:r>
      <w:r w:rsidR="00CD5EA1">
        <w:rPr>
          <w:b/>
        </w:rPr>
        <w:t>4</w:t>
      </w:r>
      <w:r w:rsidR="00E24F64" w:rsidRPr="00900728">
        <w:rPr>
          <w:b/>
        </w:rPr>
        <w:t>)</w:t>
      </w:r>
    </w:p>
    <w:p w14:paraId="3537106E" w14:textId="77777777" w:rsidR="00DA73D5" w:rsidRPr="0034016F" w:rsidRDefault="00DA73D5" w:rsidP="0034016F"/>
    <w:p w14:paraId="1DD03934" w14:textId="77777777" w:rsidR="006A1E39" w:rsidRDefault="00326FCE" w:rsidP="004031FC">
      <w:pPr>
        <w:rPr>
          <w:b/>
        </w:rPr>
      </w:pPr>
      <w:r>
        <w:rPr>
          <w:b/>
        </w:rPr>
        <w:t>17</w:t>
      </w:r>
      <w:r w:rsidR="00DA73D5" w:rsidRPr="00900728">
        <w:rPr>
          <w:b/>
        </w:rPr>
        <w:tab/>
      </w:r>
      <w:r w:rsidR="003A2439">
        <w:rPr>
          <w:b/>
        </w:rPr>
        <w:tab/>
      </w:r>
      <w:r w:rsidR="0086675B">
        <w:rPr>
          <w:b/>
        </w:rPr>
        <w:t>Deter presentation of false evidence by prosecution under</w:t>
      </w:r>
      <w:r w:rsidR="00DA73D5" w:rsidRPr="00900728">
        <w:rPr>
          <w:b/>
        </w:rPr>
        <w:t xml:space="preserve"> s136 VCAT Act </w:t>
      </w:r>
      <w:r w:rsidR="0086675B">
        <w:rPr>
          <w:b/>
        </w:rPr>
        <w:t>of</w:t>
      </w:r>
      <w:r w:rsidR="00DA73D5" w:rsidRPr="00900728">
        <w:rPr>
          <w:b/>
        </w:rPr>
        <w:t xml:space="preserve"> parties or witnesses </w:t>
      </w:r>
      <w:r w:rsidR="0086675B">
        <w:rPr>
          <w:b/>
        </w:rPr>
        <w:t>who attempt to mislead</w:t>
      </w:r>
      <w:r w:rsidR="00DA73D5" w:rsidRPr="00900728">
        <w:rPr>
          <w:b/>
        </w:rPr>
        <w:t xml:space="preserve"> the Tribunal</w:t>
      </w:r>
      <w:r w:rsidR="00E03954" w:rsidRPr="00900728">
        <w:rPr>
          <w:b/>
        </w:rPr>
        <w:t xml:space="preserve"> (</w:t>
      </w:r>
      <w:r w:rsidR="00900728">
        <w:rPr>
          <w:b/>
        </w:rPr>
        <w:t xml:space="preserve">ref. </w:t>
      </w:r>
      <w:r w:rsidR="00CD5EA1">
        <w:rPr>
          <w:b/>
        </w:rPr>
        <w:t>15</w:t>
      </w:r>
      <w:r w:rsidR="00865C3A">
        <w:rPr>
          <w:b/>
        </w:rPr>
        <w:t>, 1</w:t>
      </w:r>
      <w:r w:rsidR="00CD5EA1">
        <w:rPr>
          <w:b/>
        </w:rPr>
        <w:t>6</w:t>
      </w:r>
      <w:r w:rsidR="00E03954" w:rsidRPr="00900728">
        <w:rPr>
          <w:b/>
        </w:rPr>
        <w:t>)</w:t>
      </w:r>
      <w:r w:rsidR="00C039BF">
        <w:rPr>
          <w:b/>
        </w:rPr>
        <w:t xml:space="preserve">.  </w:t>
      </w:r>
    </w:p>
    <w:p w14:paraId="258D71ED" w14:textId="77777777" w:rsidR="006A1E39" w:rsidRDefault="006A1E39" w:rsidP="004031FC">
      <w:pPr>
        <w:rPr>
          <w:b/>
        </w:rPr>
      </w:pPr>
    </w:p>
    <w:p w14:paraId="1C7E2BB9" w14:textId="582F3191" w:rsidR="00DA73D5" w:rsidRPr="00C039BF" w:rsidRDefault="00C039BF" w:rsidP="004031FC">
      <w:r w:rsidRPr="00C039BF">
        <w:t>As far as we can determine, this provision has never been used despite several documented instances of witnesses being found to have deliberately misled the Tribunal</w:t>
      </w:r>
    </w:p>
    <w:p w14:paraId="30AFB1A8" w14:textId="77777777" w:rsidR="00D438D0" w:rsidRDefault="00D438D0" w:rsidP="0034016F">
      <w:pPr>
        <w:rPr>
          <w:b/>
        </w:rPr>
      </w:pPr>
    </w:p>
    <w:p w14:paraId="43F2E4D1" w14:textId="0131AA6E" w:rsidR="007F6F09" w:rsidRDefault="00326FCE" w:rsidP="00D9517B">
      <w:pPr>
        <w:rPr>
          <w:b/>
        </w:rPr>
      </w:pPr>
      <w:r>
        <w:rPr>
          <w:b/>
        </w:rPr>
        <w:t>18</w:t>
      </w:r>
      <w:r w:rsidR="00D438D0">
        <w:rPr>
          <w:b/>
        </w:rPr>
        <w:tab/>
      </w:r>
      <w:r w:rsidR="00D438D0">
        <w:rPr>
          <w:b/>
        </w:rPr>
        <w:tab/>
      </w:r>
      <w:r w:rsidR="00662FDD">
        <w:rPr>
          <w:b/>
        </w:rPr>
        <w:t xml:space="preserve">Maintain </w:t>
      </w:r>
      <w:r w:rsidR="00D438D0" w:rsidRPr="00900728">
        <w:rPr>
          <w:b/>
        </w:rPr>
        <w:t xml:space="preserve">accessibility of </w:t>
      </w:r>
      <w:r w:rsidR="00CD5EA1">
        <w:rPr>
          <w:b/>
        </w:rPr>
        <w:t xml:space="preserve">VCAT </w:t>
      </w:r>
      <w:r w:rsidR="00D438D0" w:rsidRPr="00900728">
        <w:rPr>
          <w:b/>
        </w:rPr>
        <w:t>file inspections based on recouping actual costs</w:t>
      </w:r>
    </w:p>
    <w:p w14:paraId="22AE453F" w14:textId="77777777" w:rsidR="000A0363" w:rsidRDefault="000A0363" w:rsidP="0034016F"/>
    <w:p w14:paraId="1285D88C" w14:textId="77777777" w:rsidR="00C039BF" w:rsidRDefault="00C039BF" w:rsidP="0034016F"/>
    <w:p w14:paraId="25721365" w14:textId="77777777" w:rsidR="006A1E39" w:rsidRPr="00C039BF" w:rsidRDefault="006A1E39" w:rsidP="0034016F"/>
    <w:p w14:paraId="633787BD" w14:textId="37DD6D43" w:rsidR="003361B6" w:rsidRPr="00755735" w:rsidRDefault="003361B6" w:rsidP="0034016F">
      <w:pPr>
        <w:rPr>
          <w:b/>
        </w:rPr>
      </w:pPr>
      <w:r w:rsidRPr="00755735">
        <w:rPr>
          <w:b/>
        </w:rPr>
        <w:t>REFERENCES:</w:t>
      </w:r>
    </w:p>
    <w:p w14:paraId="50BED884" w14:textId="77777777" w:rsidR="00755735" w:rsidRDefault="00755735" w:rsidP="0034016F">
      <w:pPr>
        <w:rPr>
          <w:b/>
          <w:sz w:val="22"/>
          <w:szCs w:val="22"/>
        </w:rPr>
      </w:pPr>
    </w:p>
    <w:p w14:paraId="1AD1D003" w14:textId="21EFF6C9" w:rsidR="00755735" w:rsidRPr="00046DD1" w:rsidRDefault="00755735" w:rsidP="003401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NB: many links to older documents on the Planning </w:t>
      </w:r>
      <w:proofErr w:type="spellStart"/>
      <w:r>
        <w:rPr>
          <w:b/>
          <w:sz w:val="22"/>
          <w:szCs w:val="22"/>
        </w:rPr>
        <w:t>Dept</w:t>
      </w:r>
      <w:proofErr w:type="spellEnd"/>
      <w:r>
        <w:rPr>
          <w:b/>
          <w:sz w:val="22"/>
          <w:szCs w:val="22"/>
        </w:rPr>
        <w:t xml:space="preserve"> website </w:t>
      </w:r>
      <w:r w:rsidR="005A5C82">
        <w:rPr>
          <w:b/>
          <w:sz w:val="22"/>
          <w:szCs w:val="22"/>
        </w:rPr>
        <w:t xml:space="preserve">are </w:t>
      </w:r>
      <w:r>
        <w:rPr>
          <w:b/>
          <w:sz w:val="22"/>
          <w:szCs w:val="22"/>
        </w:rPr>
        <w:t xml:space="preserve">no longer </w:t>
      </w:r>
      <w:r w:rsidR="005A5C82">
        <w:rPr>
          <w:b/>
          <w:sz w:val="22"/>
          <w:szCs w:val="22"/>
        </w:rPr>
        <w:t>current</w:t>
      </w:r>
      <w:r>
        <w:rPr>
          <w:b/>
          <w:sz w:val="22"/>
          <w:szCs w:val="22"/>
        </w:rPr>
        <w:t xml:space="preserve"> and the documents concerned have often been removed from searchable access altogether, such as the </w:t>
      </w:r>
      <w:r w:rsidR="006A1E39">
        <w:rPr>
          <w:b/>
          <w:sz w:val="22"/>
          <w:szCs w:val="22"/>
        </w:rPr>
        <w:t>3 Whitney Reports listed below (but</w:t>
      </w:r>
      <w:bookmarkStart w:id="0" w:name="_GoBack"/>
      <w:bookmarkEnd w:id="0"/>
      <w:r w:rsidR="006A1E39">
        <w:rPr>
          <w:b/>
          <w:sz w:val="22"/>
          <w:szCs w:val="22"/>
        </w:rPr>
        <w:t xml:space="preserve"> now available from</w:t>
      </w:r>
      <w:r w:rsidR="005A5C82">
        <w:rPr>
          <w:b/>
          <w:sz w:val="22"/>
          <w:szCs w:val="22"/>
        </w:rPr>
        <w:t xml:space="preserve"> the SOS website</w:t>
      </w:r>
      <w:r w:rsidR="006A1E39">
        <w:rPr>
          <w:b/>
          <w:sz w:val="22"/>
          <w:szCs w:val="22"/>
        </w:rPr>
        <w:t>)</w:t>
      </w:r>
      <w:r w:rsidR="005A5C82">
        <w:rPr>
          <w:b/>
          <w:sz w:val="22"/>
          <w:szCs w:val="22"/>
        </w:rPr>
        <w:t>.</w:t>
      </w:r>
    </w:p>
    <w:p w14:paraId="0948A5F7" w14:textId="77777777" w:rsidR="005D03A7" w:rsidRPr="00046DD1" w:rsidRDefault="005D03A7" w:rsidP="0034016F">
      <w:pPr>
        <w:rPr>
          <w:sz w:val="22"/>
          <w:szCs w:val="22"/>
        </w:rPr>
      </w:pPr>
    </w:p>
    <w:p w14:paraId="0C108414" w14:textId="59507F63" w:rsidR="00A1368D" w:rsidRPr="004A2FD7" w:rsidRDefault="009024D0" w:rsidP="009024D0">
      <w:pPr>
        <w:rPr>
          <w:b/>
          <w:sz w:val="22"/>
          <w:szCs w:val="22"/>
        </w:rPr>
      </w:pPr>
      <w:r w:rsidRPr="004A2FD7">
        <w:rPr>
          <w:b/>
          <w:sz w:val="22"/>
          <w:szCs w:val="22"/>
        </w:rPr>
        <w:t>(1)</w:t>
      </w:r>
      <w:r w:rsidRPr="004A2FD7">
        <w:rPr>
          <w:b/>
          <w:sz w:val="22"/>
          <w:szCs w:val="22"/>
        </w:rPr>
        <w:tab/>
      </w:r>
      <w:r w:rsidRPr="004A2FD7">
        <w:rPr>
          <w:b/>
          <w:sz w:val="22"/>
          <w:szCs w:val="22"/>
        </w:rPr>
        <w:tab/>
      </w:r>
      <w:r w:rsidR="00A1368D" w:rsidRPr="004A2FD7">
        <w:rPr>
          <w:b/>
          <w:sz w:val="22"/>
          <w:szCs w:val="22"/>
        </w:rPr>
        <w:t>Whitney Report #2</w:t>
      </w:r>
      <w:r w:rsidR="005D03A7" w:rsidRPr="004A2FD7">
        <w:rPr>
          <w:b/>
          <w:sz w:val="22"/>
          <w:szCs w:val="22"/>
        </w:rPr>
        <w:t xml:space="preserve"> (Amended Plans)</w:t>
      </w:r>
      <w:r w:rsidR="00A1368D" w:rsidRPr="004A2FD7">
        <w:rPr>
          <w:b/>
          <w:sz w:val="22"/>
          <w:szCs w:val="22"/>
        </w:rPr>
        <w:t>, 2002</w:t>
      </w:r>
      <w:r w:rsidRPr="004A2FD7">
        <w:rPr>
          <w:b/>
          <w:sz w:val="22"/>
          <w:szCs w:val="22"/>
        </w:rPr>
        <w:t>:</w:t>
      </w:r>
    </w:p>
    <w:p w14:paraId="0D2B6E4D" w14:textId="10260060" w:rsidR="004A2FD7" w:rsidRDefault="00E6486C" w:rsidP="004A2FD7">
      <w:pPr>
        <w:rPr>
          <w:i/>
          <w:sz w:val="22"/>
          <w:szCs w:val="22"/>
        </w:rPr>
      </w:pPr>
      <w:hyperlink r:id="rId6" w:history="1">
        <w:r w:rsidR="00633C8D" w:rsidRPr="005F3E99">
          <w:rPr>
            <w:rStyle w:val="Hyperlink"/>
            <w:i/>
            <w:sz w:val="22"/>
            <w:szCs w:val="22"/>
          </w:rPr>
          <w:t>http://sos.asn.au/vic/wp-content/uploads/2015/02/Whitney-2-Amend-Plans.pdf</w:t>
        </w:r>
      </w:hyperlink>
    </w:p>
    <w:p w14:paraId="6E10037C" w14:textId="77777777" w:rsidR="004A2FD7" w:rsidRPr="004A2FD7" w:rsidRDefault="004A2FD7" w:rsidP="004A2FD7">
      <w:pPr>
        <w:rPr>
          <w:b/>
          <w:sz w:val="22"/>
          <w:szCs w:val="22"/>
        </w:rPr>
      </w:pPr>
    </w:p>
    <w:p w14:paraId="6E4DB989" w14:textId="52363A3F" w:rsidR="00FF705D" w:rsidRPr="00945D94" w:rsidRDefault="00A1368D" w:rsidP="00AE329A">
      <w:pPr>
        <w:rPr>
          <w:b/>
          <w:sz w:val="22"/>
          <w:szCs w:val="22"/>
        </w:rPr>
      </w:pPr>
      <w:r w:rsidRPr="00945D94">
        <w:rPr>
          <w:b/>
          <w:sz w:val="22"/>
          <w:szCs w:val="22"/>
        </w:rPr>
        <w:t>(2)</w:t>
      </w:r>
      <w:r w:rsidRPr="00945D94">
        <w:rPr>
          <w:b/>
          <w:sz w:val="22"/>
          <w:szCs w:val="22"/>
        </w:rPr>
        <w:tab/>
      </w:r>
      <w:r w:rsidRPr="00945D94">
        <w:rPr>
          <w:b/>
          <w:sz w:val="22"/>
          <w:szCs w:val="22"/>
        </w:rPr>
        <w:tab/>
      </w:r>
      <w:r w:rsidR="00AE329A" w:rsidRPr="00945D94">
        <w:rPr>
          <w:b/>
          <w:sz w:val="22"/>
          <w:szCs w:val="22"/>
        </w:rPr>
        <w:t>Justice Kevin</w:t>
      </w:r>
      <w:r w:rsidR="000B36FC" w:rsidRPr="00945D94">
        <w:rPr>
          <w:b/>
          <w:sz w:val="22"/>
          <w:szCs w:val="22"/>
        </w:rPr>
        <w:t xml:space="preserve"> Bell, </w:t>
      </w:r>
      <w:r w:rsidR="00AE329A" w:rsidRPr="00945D94">
        <w:rPr>
          <w:b/>
          <w:sz w:val="22"/>
          <w:szCs w:val="22"/>
        </w:rPr>
        <w:t xml:space="preserve">“VCAT chief admits faults, calls for overhaul”, The </w:t>
      </w:r>
      <w:r w:rsidR="000B36FC" w:rsidRPr="00945D94">
        <w:rPr>
          <w:b/>
          <w:sz w:val="22"/>
          <w:szCs w:val="22"/>
        </w:rPr>
        <w:t>Age</w:t>
      </w:r>
      <w:r w:rsidR="00AE329A" w:rsidRPr="00945D94">
        <w:rPr>
          <w:b/>
          <w:sz w:val="22"/>
          <w:szCs w:val="22"/>
        </w:rPr>
        <w:t>, 12.08.09</w:t>
      </w:r>
    </w:p>
    <w:p w14:paraId="3C3CB170" w14:textId="72512968" w:rsidR="00AE329A" w:rsidRDefault="00E6486C" w:rsidP="00AE329A">
      <w:pPr>
        <w:rPr>
          <w:i/>
          <w:sz w:val="22"/>
          <w:szCs w:val="22"/>
        </w:rPr>
      </w:pPr>
      <w:hyperlink r:id="rId7" w:history="1">
        <w:r w:rsidR="00633C8D" w:rsidRPr="005F3E99">
          <w:rPr>
            <w:rStyle w:val="Hyperlink"/>
            <w:i/>
            <w:sz w:val="22"/>
            <w:szCs w:val="22"/>
          </w:rPr>
          <w:t>www.theage.com.au/national/vcat-chief-admits-faults-calls-for-overhaul-20090811-egz3.html</w:t>
        </w:r>
      </w:hyperlink>
    </w:p>
    <w:p w14:paraId="6B301A1F" w14:textId="77777777" w:rsidR="003361B6" w:rsidRPr="00046DD1" w:rsidRDefault="003361B6" w:rsidP="0034016F">
      <w:pPr>
        <w:rPr>
          <w:sz w:val="22"/>
          <w:szCs w:val="22"/>
        </w:rPr>
      </w:pPr>
    </w:p>
    <w:p w14:paraId="067894C8" w14:textId="0092963F" w:rsidR="00FF705D" w:rsidRDefault="00A1368D" w:rsidP="0034016F">
      <w:pPr>
        <w:rPr>
          <w:sz w:val="22"/>
          <w:szCs w:val="22"/>
        </w:rPr>
      </w:pPr>
      <w:r w:rsidRPr="00945D94">
        <w:rPr>
          <w:b/>
          <w:sz w:val="22"/>
          <w:szCs w:val="22"/>
        </w:rPr>
        <w:t>(3)</w:t>
      </w:r>
      <w:r w:rsidRPr="00945D94">
        <w:rPr>
          <w:b/>
          <w:sz w:val="22"/>
          <w:szCs w:val="22"/>
        </w:rPr>
        <w:tab/>
      </w:r>
      <w:r w:rsidRPr="00945D94">
        <w:rPr>
          <w:b/>
          <w:sz w:val="22"/>
          <w:szCs w:val="22"/>
        </w:rPr>
        <w:tab/>
      </w:r>
      <w:r w:rsidR="00FF705D" w:rsidRPr="00945D94">
        <w:rPr>
          <w:b/>
          <w:sz w:val="22"/>
          <w:szCs w:val="22"/>
        </w:rPr>
        <w:t>Victorian Law Reform Commission</w:t>
      </w:r>
      <w:r w:rsidR="007F331A" w:rsidRPr="00945D94">
        <w:rPr>
          <w:b/>
          <w:sz w:val="22"/>
          <w:szCs w:val="22"/>
        </w:rPr>
        <w:t>: Civil Justice Review – Report 14:</w:t>
      </w:r>
      <w:r w:rsidR="007E4265" w:rsidRPr="00046DD1">
        <w:rPr>
          <w:sz w:val="22"/>
          <w:szCs w:val="22"/>
        </w:rPr>
        <w:t xml:space="preserve"> </w:t>
      </w:r>
      <w:hyperlink r:id="rId8" w:history="1">
        <w:r w:rsidR="00633C8D" w:rsidRPr="005F3E99">
          <w:rPr>
            <w:rStyle w:val="Hyperlink"/>
            <w:sz w:val="22"/>
            <w:szCs w:val="22"/>
          </w:rPr>
          <w:t>www.lawreform.vic.gov.au/projects/civil-justice/civil-justice-review-report</w:t>
        </w:r>
      </w:hyperlink>
    </w:p>
    <w:p w14:paraId="1D97E909" w14:textId="77777777" w:rsidR="003361B6" w:rsidRPr="00046DD1" w:rsidRDefault="003361B6" w:rsidP="0034016F">
      <w:pPr>
        <w:rPr>
          <w:sz w:val="22"/>
          <w:szCs w:val="22"/>
        </w:rPr>
      </w:pPr>
    </w:p>
    <w:p w14:paraId="67D3C932" w14:textId="2D7AB626" w:rsidR="003361B6" w:rsidRDefault="00A1368D" w:rsidP="00213412">
      <w:pPr>
        <w:rPr>
          <w:sz w:val="22"/>
          <w:szCs w:val="22"/>
        </w:rPr>
      </w:pPr>
      <w:r w:rsidRPr="00150356">
        <w:rPr>
          <w:b/>
          <w:sz w:val="22"/>
          <w:szCs w:val="22"/>
        </w:rPr>
        <w:t>(4)</w:t>
      </w:r>
      <w:r w:rsidRPr="00150356">
        <w:rPr>
          <w:b/>
          <w:sz w:val="22"/>
          <w:szCs w:val="22"/>
        </w:rPr>
        <w:tab/>
      </w:r>
      <w:r w:rsidRPr="00150356">
        <w:rPr>
          <w:b/>
          <w:sz w:val="22"/>
          <w:szCs w:val="22"/>
        </w:rPr>
        <w:tab/>
      </w:r>
      <w:r w:rsidR="008340E5" w:rsidRPr="00150356">
        <w:rPr>
          <w:b/>
          <w:sz w:val="22"/>
          <w:szCs w:val="22"/>
        </w:rPr>
        <w:t>Land &amp; Environment Court, NSW:</w:t>
      </w:r>
      <w:r w:rsidR="008340E5" w:rsidRPr="00150356">
        <w:rPr>
          <w:b/>
          <w:sz w:val="22"/>
          <w:szCs w:val="22"/>
          <w:lang w:val="en-AU"/>
        </w:rPr>
        <w:t xml:space="preserve"> Ongoing Reforms of Practice &amp; P</w:t>
      </w:r>
      <w:r w:rsidR="006226B7" w:rsidRPr="00150356">
        <w:rPr>
          <w:b/>
          <w:sz w:val="22"/>
          <w:szCs w:val="22"/>
          <w:lang w:val="en-AU"/>
        </w:rPr>
        <w:t>rocedure, 14 June 2006 (Expert Witnesses, p.21 – 28)</w:t>
      </w:r>
      <w:r w:rsidR="008340E5" w:rsidRPr="00150356">
        <w:rPr>
          <w:b/>
          <w:sz w:val="22"/>
          <w:szCs w:val="22"/>
          <w:lang w:val="en-AU"/>
        </w:rPr>
        <w:t>:</w:t>
      </w:r>
      <w:r w:rsidR="0035068B" w:rsidRPr="00150356">
        <w:rPr>
          <w:sz w:val="22"/>
          <w:szCs w:val="22"/>
        </w:rPr>
        <w:t xml:space="preserve"> </w:t>
      </w:r>
    </w:p>
    <w:p w14:paraId="5BF430FE" w14:textId="5EBE20AB" w:rsidR="00067563" w:rsidRDefault="00E6486C" w:rsidP="00213412">
      <w:pPr>
        <w:rPr>
          <w:sz w:val="22"/>
          <w:szCs w:val="22"/>
        </w:rPr>
      </w:pPr>
      <w:hyperlink r:id="rId9" w:history="1">
        <w:r w:rsidR="00633C8D" w:rsidRPr="005F3E99">
          <w:rPr>
            <w:rStyle w:val="Hyperlink"/>
            <w:sz w:val="22"/>
            <w:szCs w:val="22"/>
          </w:rPr>
          <w:t>www.lec.justice.nsw.gov.au/agdbasev7wr/_assets/lec/m420301l721754/preston_ongoing%20reforms%20of%20practice%20and%20procedure.pdf</w:t>
        </w:r>
      </w:hyperlink>
    </w:p>
    <w:p w14:paraId="42DA7594" w14:textId="77777777" w:rsidR="003361B6" w:rsidRPr="00046DD1" w:rsidRDefault="003361B6" w:rsidP="009024D0">
      <w:pPr>
        <w:ind w:left="680" w:hanging="680"/>
        <w:rPr>
          <w:sz w:val="22"/>
          <w:szCs w:val="22"/>
        </w:rPr>
      </w:pPr>
    </w:p>
    <w:p w14:paraId="0B3698CC" w14:textId="1DA8B29D" w:rsidR="00CD5EA1" w:rsidRPr="00150356" w:rsidRDefault="00EF0595" w:rsidP="007E4265">
      <w:pPr>
        <w:rPr>
          <w:rFonts w:eastAsia="Times New Roman"/>
          <w:b/>
          <w:sz w:val="22"/>
          <w:szCs w:val="22"/>
        </w:rPr>
      </w:pPr>
      <w:r w:rsidRPr="00150356">
        <w:rPr>
          <w:b/>
          <w:sz w:val="22"/>
          <w:szCs w:val="22"/>
        </w:rPr>
        <w:t>(5</w:t>
      </w:r>
      <w:r w:rsidR="003A2439" w:rsidRPr="00150356">
        <w:rPr>
          <w:b/>
          <w:sz w:val="22"/>
          <w:szCs w:val="22"/>
        </w:rPr>
        <w:t>)</w:t>
      </w:r>
      <w:r w:rsidR="003A2439" w:rsidRPr="00150356">
        <w:rPr>
          <w:b/>
          <w:sz w:val="22"/>
          <w:szCs w:val="22"/>
        </w:rPr>
        <w:tab/>
      </w:r>
      <w:r w:rsidR="007E4265" w:rsidRPr="00150356">
        <w:rPr>
          <w:b/>
          <w:sz w:val="22"/>
          <w:szCs w:val="22"/>
        </w:rPr>
        <w:tab/>
      </w:r>
      <w:r w:rsidR="00CD5EA1" w:rsidRPr="00150356">
        <w:rPr>
          <w:rFonts w:eastAsia="Times New Roman"/>
          <w:b/>
          <w:sz w:val="22"/>
          <w:szCs w:val="22"/>
        </w:rPr>
        <w:t>Expert Evidence in the Land and Environment Court, January 21, 2013</w:t>
      </w:r>
    </w:p>
    <w:p w14:paraId="2EE7E9DA" w14:textId="138C45E1" w:rsidR="00CD5EA1" w:rsidRDefault="00E6486C" w:rsidP="007E4265">
      <w:pPr>
        <w:rPr>
          <w:rFonts w:eastAsia="Times New Roman"/>
          <w:sz w:val="22"/>
          <w:szCs w:val="22"/>
        </w:rPr>
      </w:pPr>
      <w:hyperlink r:id="rId10" w:history="1">
        <w:r w:rsidR="00633C8D" w:rsidRPr="005F3E99">
          <w:rPr>
            <w:rStyle w:val="Hyperlink"/>
            <w:rFonts w:eastAsia="Times New Roman"/>
            <w:sz w:val="22"/>
            <w:szCs w:val="22"/>
          </w:rPr>
          <w:t>www.lec.justice.nsw.gov.au/agdbasev7wr/_assets/lec/m420301l711808/expert%20evidence%20in%20the%20land%20and%20environment%20court%20v2.pdf</w:t>
        </w:r>
      </w:hyperlink>
    </w:p>
    <w:p w14:paraId="6C119F6F" w14:textId="77777777" w:rsidR="00CD5EA1" w:rsidRPr="00046DD1" w:rsidRDefault="00CD5EA1" w:rsidP="007E4265">
      <w:pPr>
        <w:rPr>
          <w:sz w:val="22"/>
          <w:szCs w:val="22"/>
        </w:rPr>
      </w:pPr>
    </w:p>
    <w:p w14:paraId="43BE8671" w14:textId="4FEBABFF" w:rsidR="00633C8D" w:rsidRPr="00633C8D" w:rsidRDefault="006C4954" w:rsidP="006C4954">
      <w:pPr>
        <w:rPr>
          <w:sz w:val="22"/>
          <w:szCs w:val="22"/>
          <w:lang w:eastAsia="ja-JP"/>
        </w:rPr>
      </w:pPr>
      <w:r w:rsidRPr="00945D94">
        <w:rPr>
          <w:b/>
          <w:sz w:val="22"/>
          <w:szCs w:val="22"/>
          <w:lang w:eastAsia="ja-JP"/>
        </w:rPr>
        <w:t>(6)</w:t>
      </w:r>
      <w:r w:rsidRPr="00945D94">
        <w:rPr>
          <w:b/>
          <w:sz w:val="22"/>
          <w:szCs w:val="22"/>
          <w:lang w:eastAsia="ja-JP"/>
        </w:rPr>
        <w:tab/>
      </w:r>
      <w:r w:rsidRPr="00945D94">
        <w:rPr>
          <w:b/>
          <w:sz w:val="22"/>
          <w:szCs w:val="22"/>
          <w:lang w:eastAsia="ja-JP"/>
        </w:rPr>
        <w:tab/>
        <w:t xml:space="preserve">Saqqara Pty Ltd v Glen </w:t>
      </w:r>
      <w:proofErr w:type="spellStart"/>
      <w:r w:rsidRPr="00945D94">
        <w:rPr>
          <w:b/>
          <w:sz w:val="22"/>
          <w:szCs w:val="22"/>
          <w:lang w:eastAsia="ja-JP"/>
        </w:rPr>
        <w:t>Eira</w:t>
      </w:r>
      <w:proofErr w:type="spellEnd"/>
      <w:r w:rsidRPr="00945D94">
        <w:rPr>
          <w:b/>
          <w:sz w:val="22"/>
          <w:szCs w:val="22"/>
          <w:lang w:eastAsia="ja-JP"/>
        </w:rPr>
        <w:t xml:space="preserve"> CC [2009] VC</w:t>
      </w:r>
      <w:r w:rsidR="00945D94">
        <w:rPr>
          <w:b/>
          <w:sz w:val="22"/>
          <w:szCs w:val="22"/>
          <w:lang w:eastAsia="ja-JP"/>
        </w:rPr>
        <w:t>AT 2357 (9 November 2009) (</w:t>
      </w:r>
      <w:proofErr w:type="spellStart"/>
      <w:r w:rsidR="00945D94">
        <w:rPr>
          <w:b/>
          <w:sz w:val="22"/>
          <w:szCs w:val="22"/>
          <w:lang w:eastAsia="ja-JP"/>
        </w:rPr>
        <w:t>para</w:t>
      </w:r>
      <w:proofErr w:type="spellEnd"/>
      <w:r w:rsidRPr="00945D94">
        <w:rPr>
          <w:b/>
          <w:sz w:val="22"/>
          <w:szCs w:val="22"/>
          <w:lang w:eastAsia="ja-JP"/>
        </w:rPr>
        <w:t>. 8-10):</w:t>
      </w:r>
      <w:r w:rsidR="00945D94">
        <w:rPr>
          <w:b/>
          <w:sz w:val="22"/>
          <w:szCs w:val="22"/>
          <w:lang w:eastAsia="ja-JP"/>
        </w:rPr>
        <w:t xml:space="preserve"> </w:t>
      </w:r>
      <w:hyperlink r:id="rId11" w:history="1">
        <w:r w:rsidR="00633C8D" w:rsidRPr="005F3E99">
          <w:rPr>
            <w:rStyle w:val="Hyperlink"/>
            <w:sz w:val="22"/>
            <w:szCs w:val="22"/>
            <w:lang w:eastAsia="ja-JP"/>
          </w:rPr>
          <w:t>www.austlii.edu.au/cgi-bin/sinodisp/au/cases/vic/VCAT/2009/2357.html</w:t>
        </w:r>
      </w:hyperlink>
    </w:p>
    <w:p w14:paraId="1245B7A5" w14:textId="77777777" w:rsidR="006C4954" w:rsidRPr="00046DD1" w:rsidRDefault="006C4954" w:rsidP="006C4954">
      <w:pPr>
        <w:rPr>
          <w:sz w:val="22"/>
          <w:szCs w:val="22"/>
          <w:lang w:eastAsia="ja-JP"/>
        </w:rPr>
      </w:pPr>
    </w:p>
    <w:p w14:paraId="17A2F78E" w14:textId="7AED88A9" w:rsidR="006C4954" w:rsidRPr="004A2FD7" w:rsidRDefault="006C4954" w:rsidP="006C4954">
      <w:pPr>
        <w:rPr>
          <w:b/>
          <w:sz w:val="22"/>
          <w:szCs w:val="22"/>
          <w:lang w:eastAsia="ja-JP"/>
        </w:rPr>
      </w:pPr>
      <w:r w:rsidRPr="004A2FD7">
        <w:rPr>
          <w:b/>
          <w:sz w:val="22"/>
          <w:szCs w:val="22"/>
          <w:lang w:eastAsia="ja-JP"/>
        </w:rPr>
        <w:t>(7)</w:t>
      </w:r>
      <w:r w:rsidRPr="004A2FD7">
        <w:rPr>
          <w:b/>
          <w:sz w:val="22"/>
          <w:szCs w:val="22"/>
          <w:lang w:eastAsia="ja-JP"/>
        </w:rPr>
        <w:tab/>
      </w:r>
      <w:r w:rsidR="004031FC" w:rsidRPr="004A2FD7">
        <w:rPr>
          <w:b/>
          <w:sz w:val="22"/>
          <w:szCs w:val="22"/>
          <w:lang w:eastAsia="ja-JP"/>
        </w:rPr>
        <w:tab/>
      </w:r>
      <w:r w:rsidRPr="004A2FD7">
        <w:rPr>
          <w:b/>
          <w:sz w:val="22"/>
          <w:szCs w:val="22"/>
          <w:lang w:eastAsia="ja-JP"/>
        </w:rPr>
        <w:t>Whitney Report #1 (Local Policy), 2002:</w:t>
      </w:r>
    </w:p>
    <w:p w14:paraId="27ADF623" w14:textId="5B98D4AF" w:rsidR="004A2FD7" w:rsidRDefault="00E6486C" w:rsidP="006C4954">
      <w:pPr>
        <w:rPr>
          <w:sz w:val="22"/>
          <w:szCs w:val="22"/>
          <w:lang w:eastAsia="ja-JP"/>
        </w:rPr>
      </w:pPr>
      <w:hyperlink r:id="rId12" w:history="1">
        <w:r w:rsidR="00633C8D" w:rsidRPr="005F3E99">
          <w:rPr>
            <w:rStyle w:val="Hyperlink"/>
            <w:sz w:val="22"/>
            <w:szCs w:val="22"/>
            <w:lang w:eastAsia="ja-JP"/>
          </w:rPr>
          <w:t>http://sos.asn.au/vic/wp-content/uploads/2015/02/Whitney-1-Local-Policy.pdf</w:t>
        </w:r>
      </w:hyperlink>
    </w:p>
    <w:p w14:paraId="6DBD3A92" w14:textId="77777777" w:rsidR="00C1773B" w:rsidRPr="00046DD1" w:rsidRDefault="00C1773B" w:rsidP="006C4954">
      <w:pPr>
        <w:rPr>
          <w:sz w:val="22"/>
          <w:szCs w:val="22"/>
          <w:lang w:eastAsia="ja-JP"/>
        </w:rPr>
      </w:pPr>
    </w:p>
    <w:p w14:paraId="7DA10B96" w14:textId="5D984B1A" w:rsidR="006C4954" w:rsidRDefault="006C4954" w:rsidP="006C4954">
      <w:pPr>
        <w:rPr>
          <w:sz w:val="22"/>
          <w:szCs w:val="22"/>
          <w:lang w:eastAsia="ja-JP"/>
        </w:rPr>
      </w:pPr>
      <w:r w:rsidRPr="00945D94">
        <w:rPr>
          <w:b/>
          <w:sz w:val="22"/>
          <w:szCs w:val="22"/>
          <w:lang w:eastAsia="ja-JP"/>
        </w:rPr>
        <w:t>(8)</w:t>
      </w:r>
      <w:r w:rsidRPr="00945D94">
        <w:rPr>
          <w:b/>
          <w:sz w:val="22"/>
          <w:szCs w:val="22"/>
          <w:lang w:eastAsia="ja-JP"/>
        </w:rPr>
        <w:tab/>
      </w:r>
      <w:r w:rsidRPr="00945D94">
        <w:rPr>
          <w:b/>
          <w:sz w:val="22"/>
          <w:szCs w:val="22"/>
          <w:lang w:eastAsia="ja-JP"/>
        </w:rPr>
        <w:tab/>
        <w:t>JULIE WALTON (1997): IN PRAISE OF CERTAINTY, Australian Planner, 34:1, 12-15</w:t>
      </w:r>
      <w:r w:rsidR="00633C8D">
        <w:rPr>
          <w:b/>
          <w:sz w:val="22"/>
          <w:szCs w:val="22"/>
          <w:lang w:eastAsia="ja-JP"/>
        </w:rPr>
        <w:t xml:space="preserve"> </w:t>
      </w:r>
      <w:hyperlink r:id="rId13" w:anchor=".VOh9gcacs-8" w:history="1">
        <w:r w:rsidR="00633C8D" w:rsidRPr="005F3E99">
          <w:rPr>
            <w:rStyle w:val="Hyperlink"/>
            <w:sz w:val="22"/>
            <w:szCs w:val="22"/>
            <w:lang w:eastAsia="ja-JP"/>
          </w:rPr>
          <w:t>http://www.tandfonline.com/doi/abs/10.1080/07293682.1997.9657733#.VOh9gcacs-8</w:t>
        </w:r>
      </w:hyperlink>
    </w:p>
    <w:p w14:paraId="26467F2B" w14:textId="77777777" w:rsidR="006C4954" w:rsidRPr="00046DD1" w:rsidRDefault="006C4954" w:rsidP="006C4954">
      <w:pPr>
        <w:rPr>
          <w:sz w:val="22"/>
          <w:szCs w:val="22"/>
          <w:lang w:eastAsia="ja-JP"/>
        </w:rPr>
      </w:pPr>
    </w:p>
    <w:p w14:paraId="1BC01572" w14:textId="77777777" w:rsidR="00633C8D" w:rsidRPr="00C00E25" w:rsidRDefault="006C4954" w:rsidP="00633C8D">
      <w:pPr>
        <w:rPr>
          <w:b/>
          <w:sz w:val="22"/>
          <w:szCs w:val="22"/>
        </w:rPr>
      </w:pPr>
      <w:r w:rsidRPr="00945D94">
        <w:rPr>
          <w:b/>
          <w:sz w:val="22"/>
          <w:szCs w:val="22"/>
          <w:lang w:eastAsia="ja-JP"/>
        </w:rPr>
        <w:t>(9)</w:t>
      </w:r>
      <w:r w:rsidRPr="00945D94">
        <w:rPr>
          <w:b/>
          <w:sz w:val="22"/>
          <w:szCs w:val="22"/>
          <w:lang w:eastAsia="ja-JP"/>
        </w:rPr>
        <w:tab/>
      </w:r>
      <w:r w:rsidRPr="00945D94">
        <w:rPr>
          <w:b/>
          <w:sz w:val="22"/>
          <w:szCs w:val="22"/>
          <w:lang w:eastAsia="ja-JP"/>
        </w:rPr>
        <w:tab/>
      </w:r>
      <w:r w:rsidR="00633C8D" w:rsidRPr="00C00E25">
        <w:rPr>
          <w:b/>
          <w:sz w:val="22"/>
          <w:szCs w:val="22"/>
        </w:rPr>
        <w:t>Victoria's Planning Framework for Land Use and Development</w:t>
      </w:r>
      <w:proofErr w:type="gramStart"/>
      <w:r w:rsidR="00633C8D" w:rsidRPr="00C00E25">
        <w:rPr>
          <w:b/>
          <w:sz w:val="22"/>
          <w:szCs w:val="22"/>
        </w:rPr>
        <w:t>;  Victorian</w:t>
      </w:r>
      <w:proofErr w:type="gramEnd"/>
      <w:r w:rsidR="00633C8D" w:rsidRPr="00C00E25">
        <w:rPr>
          <w:b/>
          <w:sz w:val="22"/>
          <w:szCs w:val="22"/>
        </w:rPr>
        <w:t xml:space="preserve"> Auditor-General’s Office, 7 May 2008</w:t>
      </w:r>
    </w:p>
    <w:p w14:paraId="33037C2C" w14:textId="17C8414E" w:rsidR="00633C8D" w:rsidRDefault="00E6486C" w:rsidP="00633C8D">
      <w:pPr>
        <w:rPr>
          <w:sz w:val="22"/>
          <w:szCs w:val="22"/>
        </w:rPr>
      </w:pPr>
      <w:hyperlink r:id="rId14" w:history="1">
        <w:r w:rsidR="00633C8D" w:rsidRPr="005F3E99">
          <w:rPr>
            <w:rStyle w:val="Hyperlink"/>
            <w:sz w:val="22"/>
            <w:szCs w:val="22"/>
          </w:rPr>
          <w:t>www.audit.vic.gov.au/reports__publications/reports_by_year/2008/20080507_land_use_and_devt.aspx</w:t>
        </w:r>
      </w:hyperlink>
    </w:p>
    <w:p w14:paraId="3B198B07" w14:textId="77777777" w:rsidR="006C4954" w:rsidRPr="00046DD1" w:rsidRDefault="006C4954" w:rsidP="006C4954">
      <w:pPr>
        <w:rPr>
          <w:sz w:val="22"/>
          <w:szCs w:val="22"/>
          <w:lang w:eastAsia="ja-JP"/>
        </w:rPr>
      </w:pPr>
    </w:p>
    <w:p w14:paraId="330DB0ED" w14:textId="4B464EF6" w:rsidR="005D03A7" w:rsidRPr="00945D94" w:rsidRDefault="00CD5EA1" w:rsidP="0034016F">
      <w:pPr>
        <w:rPr>
          <w:b/>
          <w:sz w:val="22"/>
          <w:szCs w:val="22"/>
        </w:rPr>
      </w:pPr>
      <w:r w:rsidRPr="00945D94">
        <w:rPr>
          <w:b/>
          <w:sz w:val="22"/>
          <w:szCs w:val="22"/>
          <w:lang w:eastAsia="ja-JP"/>
        </w:rPr>
        <w:t>(10</w:t>
      </w:r>
      <w:r w:rsidR="00E24F64" w:rsidRPr="00945D94">
        <w:rPr>
          <w:b/>
          <w:sz w:val="22"/>
          <w:szCs w:val="22"/>
          <w:lang w:eastAsia="ja-JP"/>
        </w:rPr>
        <w:t>)</w:t>
      </w:r>
      <w:r w:rsidR="00E24F64" w:rsidRPr="00945D94">
        <w:rPr>
          <w:b/>
          <w:sz w:val="22"/>
          <w:szCs w:val="22"/>
          <w:lang w:eastAsia="ja-JP"/>
        </w:rPr>
        <w:tab/>
      </w:r>
      <w:r w:rsidR="005D03A7" w:rsidRPr="00945D94">
        <w:rPr>
          <w:b/>
          <w:sz w:val="22"/>
          <w:szCs w:val="22"/>
          <w:lang w:eastAsia="ja-JP"/>
        </w:rPr>
        <w:t>NSW ICAC, “Anti-corruption Safeguards and the NSW Planning System”, Feb 2012</w:t>
      </w:r>
    </w:p>
    <w:p w14:paraId="4867C402" w14:textId="46C8E171" w:rsidR="00DA2085" w:rsidRDefault="00E6486C" w:rsidP="00945D94">
      <w:pPr>
        <w:rPr>
          <w:sz w:val="22"/>
          <w:szCs w:val="22"/>
        </w:rPr>
      </w:pPr>
      <w:hyperlink r:id="rId15" w:history="1">
        <w:r w:rsidR="00633C8D" w:rsidRPr="005F3E99">
          <w:rPr>
            <w:rStyle w:val="Hyperlink"/>
            <w:sz w:val="22"/>
            <w:szCs w:val="22"/>
          </w:rPr>
          <w:t>http://www.icac.nsw.gov.au/documents/doc_download/3867-anti-corruption-safeguards-and-the-nsw-planning-system-2012</w:t>
        </w:r>
      </w:hyperlink>
    </w:p>
    <w:p w14:paraId="67053010" w14:textId="77777777" w:rsidR="00DA2085" w:rsidRDefault="00DA2085" w:rsidP="009F17E4">
      <w:pPr>
        <w:rPr>
          <w:b/>
          <w:sz w:val="22"/>
          <w:szCs w:val="22"/>
        </w:rPr>
      </w:pPr>
    </w:p>
    <w:p w14:paraId="5A6ACD6A" w14:textId="4C7CB7AE" w:rsidR="00A1368D" w:rsidRPr="00945D94" w:rsidRDefault="00EF0595" w:rsidP="009F17E4">
      <w:pPr>
        <w:rPr>
          <w:b/>
          <w:sz w:val="22"/>
          <w:szCs w:val="22"/>
        </w:rPr>
      </w:pPr>
      <w:r w:rsidRPr="00945D94">
        <w:rPr>
          <w:b/>
          <w:sz w:val="22"/>
          <w:szCs w:val="22"/>
        </w:rPr>
        <w:t>(1</w:t>
      </w:r>
      <w:r w:rsidR="00CD5EA1" w:rsidRPr="00945D94">
        <w:rPr>
          <w:b/>
          <w:sz w:val="22"/>
          <w:szCs w:val="22"/>
        </w:rPr>
        <w:t>1</w:t>
      </w:r>
      <w:r w:rsidR="005D03A7" w:rsidRPr="00945D94">
        <w:rPr>
          <w:b/>
          <w:sz w:val="22"/>
          <w:szCs w:val="22"/>
        </w:rPr>
        <w:t>)</w:t>
      </w:r>
      <w:r w:rsidR="005D03A7" w:rsidRPr="00945D94">
        <w:rPr>
          <w:b/>
          <w:sz w:val="22"/>
          <w:szCs w:val="22"/>
        </w:rPr>
        <w:tab/>
      </w:r>
      <w:r w:rsidR="009F17E4" w:rsidRPr="00945D94">
        <w:rPr>
          <w:b/>
          <w:sz w:val="22"/>
          <w:szCs w:val="22"/>
        </w:rPr>
        <w:t xml:space="preserve">Planning Enforcement Officers Association </w:t>
      </w:r>
      <w:proofErr w:type="spellStart"/>
      <w:r w:rsidR="009F17E4" w:rsidRPr="00945D94">
        <w:rPr>
          <w:b/>
          <w:sz w:val="22"/>
          <w:szCs w:val="22"/>
        </w:rPr>
        <w:t>Inc</w:t>
      </w:r>
      <w:proofErr w:type="spellEnd"/>
      <w:r w:rsidR="009F17E4" w:rsidRPr="00945D94">
        <w:rPr>
          <w:b/>
          <w:sz w:val="22"/>
          <w:szCs w:val="22"/>
        </w:rPr>
        <w:t xml:space="preserve">:  Submission to the Victorian Planning System Ministerial Advisory Committee – Key stakeholder consultation, </w:t>
      </w:r>
      <w:proofErr w:type="gramStart"/>
      <w:r w:rsidR="009F17E4" w:rsidRPr="00945D94">
        <w:rPr>
          <w:b/>
          <w:sz w:val="22"/>
          <w:szCs w:val="22"/>
        </w:rPr>
        <w:t>July,</w:t>
      </w:r>
      <w:proofErr w:type="gramEnd"/>
      <w:r w:rsidR="009F17E4" w:rsidRPr="00945D94">
        <w:rPr>
          <w:b/>
          <w:sz w:val="22"/>
          <w:szCs w:val="22"/>
        </w:rPr>
        <w:t xml:space="preserve"> 2011</w:t>
      </w:r>
    </w:p>
    <w:p w14:paraId="542D167C" w14:textId="2239753C" w:rsidR="00254C5E" w:rsidRDefault="00E6486C" w:rsidP="00254C5E">
      <w:pPr>
        <w:rPr>
          <w:sz w:val="22"/>
          <w:szCs w:val="22"/>
        </w:rPr>
      </w:pPr>
      <w:hyperlink r:id="rId16" w:history="1">
        <w:r w:rsidR="00633C8D" w:rsidRPr="005F3E99">
          <w:rPr>
            <w:rStyle w:val="Hyperlink"/>
            <w:sz w:val="22"/>
            <w:szCs w:val="22"/>
          </w:rPr>
          <w:t>www.google.com.au/url?sa=t&amp;rct=j&amp;q=&amp;esrc=s&amp;source=web&amp;cd=2&amp;ved=0CCAQFjAB&amp;url=http%3A%2F%2Fplanning-enforcement.com%2Fdoc%2FSUBMISSION_VICTORIAN_PLANNING_SYSTEM_REVIEW_%25283%2529.doc&amp;ei=N0HlVPrGEI7v8gWGx4H4DA&amp;usg=AFQjCNEVeydpa58Cq-cPrAGSfdZTWfqPRQ&amp;sig2=JmUXNv5smBYVl-Hefu5eDQ</w:t>
        </w:r>
      </w:hyperlink>
    </w:p>
    <w:p w14:paraId="60C47786" w14:textId="77777777" w:rsidR="00254C5E" w:rsidRPr="00254C5E" w:rsidRDefault="00254C5E" w:rsidP="00254C5E">
      <w:pPr>
        <w:rPr>
          <w:sz w:val="22"/>
          <w:szCs w:val="22"/>
        </w:rPr>
      </w:pPr>
    </w:p>
    <w:p w14:paraId="6AA05F26" w14:textId="679F6C2B" w:rsidR="005D03A7" w:rsidRPr="00BA029D" w:rsidRDefault="00CD5EA1" w:rsidP="0034016F">
      <w:pPr>
        <w:rPr>
          <w:b/>
          <w:sz w:val="22"/>
          <w:szCs w:val="22"/>
        </w:rPr>
      </w:pPr>
      <w:r w:rsidRPr="00BA029D">
        <w:rPr>
          <w:b/>
          <w:sz w:val="22"/>
          <w:szCs w:val="22"/>
        </w:rPr>
        <w:t>(12</w:t>
      </w:r>
      <w:r w:rsidR="00E24F64" w:rsidRPr="00BA029D">
        <w:rPr>
          <w:b/>
          <w:sz w:val="22"/>
          <w:szCs w:val="22"/>
        </w:rPr>
        <w:t>)</w:t>
      </w:r>
      <w:r w:rsidR="00E24F64" w:rsidRPr="00BA029D">
        <w:rPr>
          <w:b/>
          <w:sz w:val="22"/>
          <w:szCs w:val="22"/>
        </w:rPr>
        <w:tab/>
      </w:r>
      <w:r w:rsidR="005D03A7" w:rsidRPr="00BA029D">
        <w:rPr>
          <w:b/>
          <w:sz w:val="22"/>
          <w:szCs w:val="22"/>
        </w:rPr>
        <w:t>Whitney Report #3 (Enforcement), 2002</w:t>
      </w:r>
    </w:p>
    <w:p w14:paraId="0E0ADBE4" w14:textId="6A9C3716" w:rsidR="00BA029D" w:rsidRDefault="00E6486C" w:rsidP="00E24F64">
      <w:pPr>
        <w:rPr>
          <w:sz w:val="22"/>
          <w:szCs w:val="22"/>
        </w:rPr>
      </w:pPr>
      <w:hyperlink r:id="rId17" w:history="1">
        <w:r w:rsidR="00633C8D" w:rsidRPr="005F3E99">
          <w:rPr>
            <w:rStyle w:val="Hyperlink"/>
            <w:sz w:val="22"/>
            <w:szCs w:val="22"/>
          </w:rPr>
          <w:t>http://sos.asn.au/vic/wp-content/uploads/2015/02/Whitney-3-Enforcement.pdf</w:t>
        </w:r>
      </w:hyperlink>
    </w:p>
    <w:p w14:paraId="642686F5" w14:textId="77777777" w:rsidR="00BA029D" w:rsidRPr="00046DD1" w:rsidRDefault="00BA029D" w:rsidP="00E24F64">
      <w:pPr>
        <w:rPr>
          <w:sz w:val="22"/>
          <w:szCs w:val="22"/>
        </w:rPr>
      </w:pPr>
    </w:p>
    <w:p w14:paraId="0422D66E" w14:textId="571EA349" w:rsidR="003A0754" w:rsidRDefault="00CD5EA1" w:rsidP="006D2E5F">
      <w:pPr>
        <w:rPr>
          <w:sz w:val="22"/>
          <w:szCs w:val="22"/>
          <w:lang w:eastAsia="ja-JP"/>
        </w:rPr>
      </w:pPr>
      <w:r w:rsidRPr="00945D94">
        <w:rPr>
          <w:b/>
          <w:sz w:val="22"/>
          <w:szCs w:val="22"/>
        </w:rPr>
        <w:t>(13</w:t>
      </w:r>
      <w:r w:rsidR="005D03A7" w:rsidRPr="00945D94">
        <w:rPr>
          <w:b/>
          <w:sz w:val="22"/>
          <w:szCs w:val="22"/>
        </w:rPr>
        <w:t>)</w:t>
      </w:r>
      <w:r w:rsidR="005D03A7" w:rsidRPr="00945D94">
        <w:rPr>
          <w:b/>
          <w:sz w:val="22"/>
          <w:szCs w:val="22"/>
        </w:rPr>
        <w:tab/>
      </w:r>
      <w:r w:rsidR="003A0754" w:rsidRPr="00945D94">
        <w:rPr>
          <w:b/>
          <w:sz w:val="22"/>
          <w:szCs w:val="22"/>
          <w:lang w:eastAsia="ja-JP"/>
        </w:rPr>
        <w:t>The Environmental Law Committee of NSW Young Lawyers: A Practitioner’s Guide to the Land and Environment Court of NSW,</w:t>
      </w:r>
      <w:r w:rsidR="006D2E5F" w:rsidRPr="00945D94">
        <w:rPr>
          <w:b/>
          <w:sz w:val="22"/>
          <w:szCs w:val="22"/>
          <w:lang w:eastAsia="ja-JP"/>
        </w:rPr>
        <w:t xml:space="preserve"> 2009  (Chapter 10: </w:t>
      </w:r>
      <w:r w:rsidR="006D2E5F" w:rsidRPr="00945D94">
        <w:rPr>
          <w:rFonts w:eastAsia="Times New Roman"/>
          <w:b/>
          <w:sz w:val="22"/>
          <w:szCs w:val="22"/>
          <w:lang w:val="en-AU"/>
        </w:rPr>
        <w:t>Judgments, Transcripts and Cassette Tapes):</w:t>
      </w:r>
      <w:r w:rsidR="001D27B9">
        <w:rPr>
          <w:rFonts w:eastAsia="Times New Roman"/>
          <w:b/>
          <w:sz w:val="22"/>
          <w:szCs w:val="22"/>
          <w:lang w:val="en-AU"/>
        </w:rPr>
        <w:t xml:space="preserve"> </w:t>
      </w:r>
      <w:hyperlink r:id="rId18" w:history="1">
        <w:r w:rsidR="00633C8D" w:rsidRPr="005F3E99">
          <w:rPr>
            <w:rStyle w:val="Hyperlink"/>
            <w:sz w:val="22"/>
            <w:szCs w:val="22"/>
            <w:lang w:eastAsia="ja-JP"/>
          </w:rPr>
          <w:t>www.lawsociety.com.au/cs/groups/public/documents/internetyounglawyers/026378.pdf</w:t>
        </w:r>
      </w:hyperlink>
    </w:p>
    <w:p w14:paraId="0B27A632" w14:textId="04B7396E" w:rsidR="003361B6" w:rsidRPr="00046DD1" w:rsidRDefault="003361B6" w:rsidP="006D2E5F">
      <w:pPr>
        <w:rPr>
          <w:sz w:val="22"/>
          <w:szCs w:val="22"/>
        </w:rPr>
      </w:pPr>
    </w:p>
    <w:p w14:paraId="37DA714E" w14:textId="552ACC2D" w:rsidR="00E24F64" w:rsidRPr="00945D94" w:rsidRDefault="00865C3A" w:rsidP="0034016F">
      <w:pPr>
        <w:rPr>
          <w:b/>
          <w:sz w:val="22"/>
          <w:szCs w:val="22"/>
        </w:rPr>
      </w:pPr>
      <w:r w:rsidRPr="00945D94">
        <w:rPr>
          <w:b/>
          <w:sz w:val="22"/>
          <w:szCs w:val="22"/>
        </w:rPr>
        <w:t>(1</w:t>
      </w:r>
      <w:r w:rsidR="00CD5EA1" w:rsidRPr="00945D94">
        <w:rPr>
          <w:b/>
          <w:sz w:val="22"/>
          <w:szCs w:val="22"/>
        </w:rPr>
        <w:t>4</w:t>
      </w:r>
      <w:r w:rsidRPr="00945D94">
        <w:rPr>
          <w:b/>
          <w:sz w:val="22"/>
          <w:szCs w:val="22"/>
        </w:rPr>
        <w:t>)</w:t>
      </w:r>
      <w:r w:rsidRPr="00945D94">
        <w:rPr>
          <w:b/>
          <w:sz w:val="22"/>
          <w:szCs w:val="22"/>
        </w:rPr>
        <w:tab/>
      </w:r>
      <w:r w:rsidR="00223B07" w:rsidRPr="00945D94">
        <w:rPr>
          <w:b/>
          <w:i/>
          <w:sz w:val="22"/>
          <w:szCs w:val="22"/>
        </w:rPr>
        <w:t xml:space="preserve">City of South Melbourne v </w:t>
      </w:r>
      <w:proofErr w:type="spellStart"/>
      <w:r w:rsidR="00223B07" w:rsidRPr="00945D94">
        <w:rPr>
          <w:b/>
          <w:i/>
          <w:sz w:val="22"/>
          <w:szCs w:val="22"/>
        </w:rPr>
        <w:t>Raftopoulos</w:t>
      </w:r>
      <w:proofErr w:type="spellEnd"/>
      <w:r w:rsidR="00223B07" w:rsidRPr="00945D94">
        <w:rPr>
          <w:b/>
          <w:sz w:val="22"/>
          <w:szCs w:val="22"/>
        </w:rPr>
        <w:t xml:space="preserve">  (unreported VCAT Appeal 1999/34936, 7.2.89)</w:t>
      </w:r>
    </w:p>
    <w:p w14:paraId="67082F06" w14:textId="77777777" w:rsidR="00E03954" w:rsidRPr="00046DD1" w:rsidRDefault="00E03954" w:rsidP="0034016F">
      <w:pPr>
        <w:rPr>
          <w:sz w:val="22"/>
          <w:szCs w:val="22"/>
        </w:rPr>
      </w:pPr>
    </w:p>
    <w:p w14:paraId="095DB36C" w14:textId="08178EA0" w:rsidR="00E03954" w:rsidRPr="00945D94" w:rsidRDefault="00CD5EA1" w:rsidP="00E03954">
      <w:pPr>
        <w:rPr>
          <w:b/>
          <w:sz w:val="22"/>
          <w:szCs w:val="22"/>
          <w:lang w:eastAsia="ja-JP"/>
        </w:rPr>
      </w:pPr>
      <w:r w:rsidRPr="00945D94">
        <w:rPr>
          <w:b/>
          <w:sz w:val="22"/>
          <w:szCs w:val="22"/>
        </w:rPr>
        <w:t>(15</w:t>
      </w:r>
      <w:r w:rsidR="00362E52" w:rsidRPr="00945D94">
        <w:rPr>
          <w:b/>
          <w:sz w:val="22"/>
          <w:szCs w:val="22"/>
        </w:rPr>
        <w:t>)</w:t>
      </w:r>
      <w:r w:rsidR="00362E52" w:rsidRPr="00945D94">
        <w:rPr>
          <w:b/>
          <w:sz w:val="22"/>
          <w:szCs w:val="22"/>
        </w:rPr>
        <w:tab/>
      </w:r>
      <w:r w:rsidR="00E03954" w:rsidRPr="00945D94">
        <w:rPr>
          <w:b/>
          <w:sz w:val="22"/>
          <w:szCs w:val="22"/>
          <w:lang w:eastAsia="ja-JP"/>
        </w:rPr>
        <w:t xml:space="preserve">Bayside CC v Sullivan &amp; </w:t>
      </w:r>
      <w:proofErr w:type="spellStart"/>
      <w:r w:rsidR="00E03954" w:rsidRPr="00945D94">
        <w:rPr>
          <w:b/>
          <w:sz w:val="22"/>
          <w:szCs w:val="22"/>
          <w:lang w:eastAsia="ja-JP"/>
        </w:rPr>
        <w:t>Ors</w:t>
      </w:r>
      <w:proofErr w:type="spellEnd"/>
      <w:r w:rsidR="00E03954" w:rsidRPr="00945D94">
        <w:rPr>
          <w:b/>
          <w:sz w:val="22"/>
          <w:szCs w:val="22"/>
          <w:lang w:eastAsia="ja-JP"/>
        </w:rPr>
        <w:t xml:space="preserve"> [2000] VCAT 672 (31 March 2000</w:t>
      </w:r>
      <w:r w:rsidR="00362E52" w:rsidRPr="00945D94">
        <w:rPr>
          <w:b/>
          <w:sz w:val="22"/>
          <w:szCs w:val="22"/>
          <w:lang w:eastAsia="ja-JP"/>
        </w:rPr>
        <w:t>) (</w:t>
      </w:r>
      <w:proofErr w:type="spellStart"/>
      <w:r w:rsidR="00362E52" w:rsidRPr="00945D94">
        <w:rPr>
          <w:b/>
          <w:sz w:val="22"/>
          <w:szCs w:val="22"/>
          <w:lang w:eastAsia="ja-JP"/>
        </w:rPr>
        <w:t>paras</w:t>
      </w:r>
      <w:proofErr w:type="spellEnd"/>
      <w:r w:rsidR="00362E52" w:rsidRPr="00945D94">
        <w:rPr>
          <w:b/>
          <w:sz w:val="22"/>
          <w:szCs w:val="22"/>
          <w:lang w:eastAsia="ja-JP"/>
        </w:rPr>
        <w:t>. 23-35):</w:t>
      </w:r>
    </w:p>
    <w:p w14:paraId="1A06BE37" w14:textId="65D0D2C3" w:rsidR="00633C8D" w:rsidRPr="00046DD1" w:rsidRDefault="00E6486C" w:rsidP="00E03954">
      <w:pPr>
        <w:rPr>
          <w:sz w:val="22"/>
          <w:szCs w:val="22"/>
          <w:lang w:eastAsia="ja-JP"/>
        </w:rPr>
      </w:pPr>
      <w:hyperlink r:id="rId19" w:history="1">
        <w:r w:rsidR="00633C8D" w:rsidRPr="005F3E99">
          <w:rPr>
            <w:rStyle w:val="Hyperlink"/>
            <w:sz w:val="22"/>
            <w:szCs w:val="22"/>
            <w:lang w:eastAsia="ja-JP"/>
          </w:rPr>
          <w:t>www.austlii.edu.au/cgi-bin/sinodisp/au/cases/vic/VCAT/2000/672.html</w:t>
        </w:r>
      </w:hyperlink>
    </w:p>
    <w:p w14:paraId="0522C17C" w14:textId="77777777" w:rsidR="007E4265" w:rsidRPr="00046DD1" w:rsidRDefault="007E4265" w:rsidP="00E03954">
      <w:pPr>
        <w:rPr>
          <w:sz w:val="22"/>
          <w:szCs w:val="22"/>
          <w:lang w:eastAsia="ja-JP"/>
        </w:rPr>
      </w:pPr>
    </w:p>
    <w:p w14:paraId="4000F6C3" w14:textId="25AE62CE" w:rsidR="00E03954" w:rsidRDefault="00CD5EA1" w:rsidP="00362E52">
      <w:pPr>
        <w:rPr>
          <w:sz w:val="22"/>
          <w:szCs w:val="22"/>
        </w:rPr>
      </w:pPr>
      <w:r w:rsidRPr="00945D94">
        <w:rPr>
          <w:b/>
          <w:sz w:val="22"/>
          <w:szCs w:val="22"/>
          <w:lang w:eastAsia="ja-JP"/>
        </w:rPr>
        <w:t>(16</w:t>
      </w:r>
      <w:r w:rsidR="007E4265" w:rsidRPr="00945D94">
        <w:rPr>
          <w:b/>
          <w:sz w:val="22"/>
          <w:szCs w:val="22"/>
          <w:lang w:eastAsia="ja-JP"/>
        </w:rPr>
        <w:t>)</w:t>
      </w:r>
      <w:r w:rsidR="007E4265" w:rsidRPr="00945D94">
        <w:rPr>
          <w:b/>
          <w:sz w:val="22"/>
          <w:szCs w:val="22"/>
          <w:lang w:eastAsia="ja-JP"/>
        </w:rPr>
        <w:tab/>
      </w:r>
      <w:r w:rsidR="00362E52" w:rsidRPr="00945D94">
        <w:rPr>
          <w:b/>
          <w:sz w:val="22"/>
          <w:szCs w:val="22"/>
        </w:rPr>
        <w:t>BG Architecture Pty Ltd v Port Phillip CC [2003] VCAT 1804 (2 December 2003) (</w:t>
      </w:r>
      <w:proofErr w:type="spellStart"/>
      <w:r w:rsidR="00362E52" w:rsidRPr="00945D94">
        <w:rPr>
          <w:b/>
          <w:sz w:val="22"/>
          <w:szCs w:val="22"/>
        </w:rPr>
        <w:t>paras</w:t>
      </w:r>
      <w:proofErr w:type="spellEnd"/>
      <w:r w:rsidR="00362E52" w:rsidRPr="00945D94">
        <w:rPr>
          <w:b/>
          <w:sz w:val="22"/>
          <w:szCs w:val="22"/>
        </w:rPr>
        <w:t xml:space="preserve"> 73-83):</w:t>
      </w:r>
      <w:r w:rsidR="00046DD1">
        <w:rPr>
          <w:sz w:val="22"/>
          <w:szCs w:val="22"/>
        </w:rPr>
        <w:tab/>
      </w:r>
      <w:r w:rsidR="00046DD1">
        <w:rPr>
          <w:sz w:val="22"/>
          <w:szCs w:val="22"/>
        </w:rPr>
        <w:tab/>
      </w:r>
      <w:hyperlink r:id="rId20" w:history="1">
        <w:r w:rsidR="00633C8D" w:rsidRPr="005F3E99">
          <w:rPr>
            <w:rStyle w:val="Hyperlink"/>
            <w:sz w:val="22"/>
            <w:szCs w:val="22"/>
          </w:rPr>
          <w:t>www.austlii.edu.au/cgi-bin/sinodisp/au/cases/vic/VCAT/2003/1804.html</w:t>
        </w:r>
      </w:hyperlink>
    </w:p>
    <w:p w14:paraId="7D252198" w14:textId="77777777" w:rsidR="00771BD1" w:rsidRPr="00046DD1" w:rsidRDefault="00771BD1" w:rsidP="00362E52">
      <w:pPr>
        <w:rPr>
          <w:sz w:val="22"/>
          <w:szCs w:val="22"/>
          <w:lang w:eastAsia="ja-JP"/>
        </w:rPr>
      </w:pPr>
    </w:p>
    <w:p w14:paraId="3F5E2F0C" w14:textId="0EA37A43" w:rsidR="00771BD1" w:rsidRPr="00D83331" w:rsidRDefault="00771BD1" w:rsidP="00771BD1">
      <w:pPr>
        <w:rPr>
          <w:sz w:val="22"/>
          <w:szCs w:val="22"/>
          <w:lang w:eastAsia="ja-JP"/>
        </w:rPr>
      </w:pPr>
      <w:r w:rsidRPr="00D83331">
        <w:rPr>
          <w:b/>
          <w:sz w:val="22"/>
          <w:szCs w:val="22"/>
          <w:lang w:eastAsia="ja-JP"/>
        </w:rPr>
        <w:t>(17)</w:t>
      </w:r>
      <w:r w:rsidRPr="00D83331">
        <w:rPr>
          <w:b/>
          <w:sz w:val="22"/>
          <w:szCs w:val="22"/>
          <w:lang w:eastAsia="ja-JP"/>
        </w:rPr>
        <w:tab/>
        <w:t>Stephen Willey, 2004: Are planning appeal rights necessary? A comparative study of Australia, England and Vancouver BC, Progress in Planning 63 (2005) 265–320</w:t>
      </w:r>
      <w:r w:rsidR="00AE0741" w:rsidRPr="00D83331">
        <w:rPr>
          <w:sz w:val="22"/>
          <w:szCs w:val="22"/>
          <w:lang w:eastAsia="ja-JP"/>
        </w:rPr>
        <w:t xml:space="preserve">  </w:t>
      </w:r>
    </w:p>
    <w:p w14:paraId="6A273378" w14:textId="0DE3D581" w:rsidR="00C00E25" w:rsidRDefault="00E6486C" w:rsidP="00C00E25">
      <w:pPr>
        <w:pStyle w:val="NoSpacing"/>
        <w:rPr>
          <w:sz w:val="22"/>
          <w:szCs w:val="22"/>
        </w:rPr>
      </w:pPr>
      <w:hyperlink r:id="rId21" w:history="1">
        <w:r w:rsidR="00633C8D" w:rsidRPr="005F3E99">
          <w:rPr>
            <w:rStyle w:val="Hyperlink"/>
            <w:sz w:val="22"/>
            <w:szCs w:val="22"/>
          </w:rPr>
          <w:t>http://www.sciencedirect.com/science/journal/03059006/63/3</w:t>
        </w:r>
      </w:hyperlink>
    </w:p>
    <w:p w14:paraId="7CEE7F6C" w14:textId="77777777" w:rsidR="00C00E25" w:rsidRPr="00C00E25" w:rsidRDefault="00C00E25" w:rsidP="00C00E25">
      <w:pPr>
        <w:pStyle w:val="NoSpacing"/>
        <w:rPr>
          <w:sz w:val="22"/>
          <w:szCs w:val="22"/>
        </w:rPr>
      </w:pPr>
    </w:p>
    <w:p w14:paraId="649B4399" w14:textId="77777777" w:rsidR="00C00E25" w:rsidRPr="00C00E25" w:rsidRDefault="00C00E25" w:rsidP="00C00E25">
      <w:pPr>
        <w:pStyle w:val="NoSpacing"/>
        <w:rPr>
          <w:b/>
          <w:sz w:val="22"/>
          <w:szCs w:val="22"/>
        </w:rPr>
      </w:pPr>
      <w:r w:rsidRPr="00C00E25">
        <w:rPr>
          <w:b/>
          <w:sz w:val="22"/>
          <w:szCs w:val="22"/>
        </w:rPr>
        <w:t>(18)</w:t>
      </w:r>
      <w:r w:rsidRPr="00C00E25">
        <w:rPr>
          <w:b/>
          <w:sz w:val="22"/>
          <w:szCs w:val="22"/>
        </w:rPr>
        <w:tab/>
        <w:t>Miles Lewis, 1999:  Suburban Backlash, p.212</w:t>
      </w:r>
      <w:proofErr w:type="gramStart"/>
      <w:r w:rsidRPr="00C00E25">
        <w:rPr>
          <w:b/>
          <w:sz w:val="22"/>
          <w:szCs w:val="22"/>
        </w:rPr>
        <w:t xml:space="preserve">,  </w:t>
      </w:r>
      <w:proofErr w:type="spellStart"/>
      <w:r w:rsidRPr="00C00E25">
        <w:rPr>
          <w:b/>
          <w:sz w:val="22"/>
          <w:szCs w:val="22"/>
        </w:rPr>
        <w:t>Bloomings</w:t>
      </w:r>
      <w:proofErr w:type="spellEnd"/>
      <w:proofErr w:type="gramEnd"/>
      <w:r w:rsidRPr="00C00E25">
        <w:rPr>
          <w:b/>
          <w:sz w:val="22"/>
          <w:szCs w:val="22"/>
        </w:rPr>
        <w:t xml:space="preserve"> Books, Melbourne</w:t>
      </w:r>
    </w:p>
    <w:p w14:paraId="337D3E0B" w14:textId="20F14947" w:rsidR="00C00E25" w:rsidRDefault="00E6486C" w:rsidP="00C00E25">
      <w:pPr>
        <w:pStyle w:val="NoSpacing"/>
        <w:rPr>
          <w:sz w:val="22"/>
          <w:szCs w:val="22"/>
        </w:rPr>
      </w:pPr>
      <w:hyperlink r:id="rId22" w:history="1">
        <w:r w:rsidR="00633C8D" w:rsidRPr="005F3E99">
          <w:rPr>
            <w:rStyle w:val="Hyperlink"/>
            <w:sz w:val="22"/>
            <w:szCs w:val="22"/>
          </w:rPr>
          <w:t>http://trove.nla.gov.au/work/5744476</w:t>
        </w:r>
      </w:hyperlink>
    </w:p>
    <w:p w14:paraId="66C1F054" w14:textId="77777777" w:rsidR="00C00E25" w:rsidRPr="00C00E25" w:rsidRDefault="00C00E25" w:rsidP="00C00E25">
      <w:pPr>
        <w:pStyle w:val="NoSpacing"/>
        <w:rPr>
          <w:sz w:val="22"/>
          <w:szCs w:val="22"/>
        </w:rPr>
      </w:pPr>
    </w:p>
    <w:p w14:paraId="392DB988" w14:textId="77777777" w:rsidR="00C00E25" w:rsidRPr="00C00E25" w:rsidRDefault="00C00E25" w:rsidP="00C00E25">
      <w:pPr>
        <w:pStyle w:val="NoSpacing"/>
        <w:rPr>
          <w:b/>
          <w:sz w:val="22"/>
          <w:szCs w:val="22"/>
        </w:rPr>
      </w:pPr>
      <w:r w:rsidRPr="00C00E25">
        <w:rPr>
          <w:b/>
          <w:sz w:val="22"/>
          <w:szCs w:val="22"/>
        </w:rPr>
        <w:t>(19)</w:t>
      </w:r>
      <w:r w:rsidRPr="00C00E25">
        <w:rPr>
          <w:b/>
          <w:sz w:val="22"/>
          <w:szCs w:val="22"/>
        </w:rPr>
        <w:tab/>
        <w:t xml:space="preserve">Use of Electronic Devices in VCAT Hearing Rooms,  </w:t>
      </w:r>
    </w:p>
    <w:p w14:paraId="366D549F" w14:textId="75BB5B41" w:rsidR="00C00E25" w:rsidRDefault="00E6486C" w:rsidP="00721E15">
      <w:pPr>
        <w:pStyle w:val="NoSpacing"/>
        <w:rPr>
          <w:rStyle w:val="Hyperlink"/>
          <w:sz w:val="22"/>
          <w:szCs w:val="22"/>
        </w:rPr>
      </w:pPr>
      <w:hyperlink r:id="rId23" w:history="1">
        <w:r w:rsidR="00633C8D" w:rsidRPr="005F3E99">
          <w:rPr>
            <w:rStyle w:val="Hyperlink"/>
            <w:sz w:val="22"/>
            <w:szCs w:val="22"/>
          </w:rPr>
          <w:t>http://www.vcat.vic.gov.au/help-faqs/electronic-devices-vcat-hearing-rooms</w:t>
        </w:r>
      </w:hyperlink>
    </w:p>
    <w:p w14:paraId="40C3276F" w14:textId="77777777" w:rsidR="00E6486C" w:rsidRDefault="00E6486C" w:rsidP="00721E15">
      <w:pPr>
        <w:pStyle w:val="NoSpacing"/>
        <w:rPr>
          <w:rStyle w:val="Hyperlink"/>
          <w:sz w:val="22"/>
          <w:szCs w:val="22"/>
        </w:rPr>
      </w:pPr>
    </w:p>
    <w:p w14:paraId="19CE9B0C" w14:textId="73E17A6D" w:rsidR="00E6486C" w:rsidRPr="00E6486C" w:rsidRDefault="00E6486C" w:rsidP="00E6486C">
      <w:r>
        <w:rPr>
          <w:b/>
          <w:sz w:val="22"/>
          <w:szCs w:val="22"/>
        </w:rPr>
        <w:t>(20</w:t>
      </w:r>
      <w:r w:rsidRPr="00C00E25">
        <w:rPr>
          <w:b/>
          <w:sz w:val="22"/>
          <w:szCs w:val="22"/>
        </w:rPr>
        <w:t>)</w:t>
      </w:r>
      <w:r w:rsidRPr="00C00E2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Clay Lucas: </w:t>
      </w:r>
      <w:r w:rsidRPr="00E6486C">
        <w:rPr>
          <w:b/>
          <w:sz w:val="22"/>
          <w:szCs w:val="22"/>
        </w:rPr>
        <w:t>“Planning disputes at VCAT plummet on the back of fees hike”,</w:t>
      </w:r>
      <w:r>
        <w:t xml:space="preserve"> </w:t>
      </w:r>
      <w:r>
        <w:rPr>
          <w:b/>
          <w:sz w:val="22"/>
          <w:szCs w:val="22"/>
        </w:rPr>
        <w:t>The Age, 18.9.14</w:t>
      </w:r>
    </w:p>
    <w:p w14:paraId="6EFF9AE2" w14:textId="5A9A6CEB" w:rsidR="00E6486C" w:rsidRDefault="00E6486C" w:rsidP="00721E15">
      <w:pPr>
        <w:pStyle w:val="NoSpacing"/>
        <w:rPr>
          <w:sz w:val="22"/>
          <w:szCs w:val="22"/>
        </w:rPr>
      </w:pPr>
      <w:hyperlink r:id="rId24" w:history="1">
        <w:r w:rsidRPr="00237EF2">
          <w:rPr>
            <w:rStyle w:val="Hyperlink"/>
            <w:sz w:val="22"/>
            <w:szCs w:val="22"/>
          </w:rPr>
          <w:t>http://www.theage.com.au/victoria/planning-disputes-at-vcat-plummet-on-the-back-of-fees-hike-20140918-10iuho.html</w:t>
        </w:r>
      </w:hyperlink>
    </w:p>
    <w:p w14:paraId="57A15B90" w14:textId="77777777" w:rsidR="00E6486C" w:rsidRDefault="00E6486C" w:rsidP="00721E15">
      <w:pPr>
        <w:pStyle w:val="NoSpacing"/>
        <w:rPr>
          <w:sz w:val="22"/>
          <w:szCs w:val="22"/>
        </w:rPr>
      </w:pPr>
    </w:p>
    <w:sectPr w:rsidR="00E6486C" w:rsidSect="006A1E39">
      <w:pgSz w:w="11900" w:h="16840"/>
      <w:pgMar w:top="1134" w:right="1361" w:bottom="1191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14F7C"/>
    <w:multiLevelType w:val="hybridMultilevel"/>
    <w:tmpl w:val="92148BC6"/>
    <w:lvl w:ilvl="0" w:tplc="A7A2815A">
      <w:start w:val="1"/>
      <w:numFmt w:val="decimal"/>
      <w:lvlText w:val="(%1)"/>
      <w:lvlJc w:val="left"/>
      <w:pPr>
        <w:ind w:left="1040" w:hanging="6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665"/>
    <w:multiLevelType w:val="hybridMultilevel"/>
    <w:tmpl w:val="8F0AEB7C"/>
    <w:lvl w:ilvl="0" w:tplc="EE4C9D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A9A"/>
    <w:multiLevelType w:val="hybridMultilevel"/>
    <w:tmpl w:val="2B025AAA"/>
    <w:lvl w:ilvl="0" w:tplc="BC8006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660C"/>
    <w:multiLevelType w:val="hybridMultilevel"/>
    <w:tmpl w:val="77601474"/>
    <w:lvl w:ilvl="0" w:tplc="09F42A06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7AA6C8D"/>
    <w:multiLevelType w:val="hybridMultilevel"/>
    <w:tmpl w:val="C2DC2AC2"/>
    <w:lvl w:ilvl="0" w:tplc="360CD0E0">
      <w:start w:val="1"/>
      <w:numFmt w:val="decimal"/>
      <w:lvlText w:val="(%1)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20F0"/>
    <w:multiLevelType w:val="hybridMultilevel"/>
    <w:tmpl w:val="1A848450"/>
    <w:lvl w:ilvl="0" w:tplc="D7CC62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5D42"/>
    <w:multiLevelType w:val="hybridMultilevel"/>
    <w:tmpl w:val="DA267882"/>
    <w:lvl w:ilvl="0" w:tplc="7242D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68B8"/>
    <w:multiLevelType w:val="hybridMultilevel"/>
    <w:tmpl w:val="9460C758"/>
    <w:lvl w:ilvl="0" w:tplc="DE528DF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34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5"/>
    <w:rsid w:val="000434C6"/>
    <w:rsid w:val="00046DD1"/>
    <w:rsid w:val="00067563"/>
    <w:rsid w:val="00081CD8"/>
    <w:rsid w:val="0009544F"/>
    <w:rsid w:val="000A0363"/>
    <w:rsid w:val="000B36FC"/>
    <w:rsid w:val="000D7613"/>
    <w:rsid w:val="00124DCB"/>
    <w:rsid w:val="00135222"/>
    <w:rsid w:val="001501B5"/>
    <w:rsid w:val="00150356"/>
    <w:rsid w:val="00175015"/>
    <w:rsid w:val="00192F77"/>
    <w:rsid w:val="001A21CA"/>
    <w:rsid w:val="001D27B9"/>
    <w:rsid w:val="001E18F0"/>
    <w:rsid w:val="001E2234"/>
    <w:rsid w:val="001F506B"/>
    <w:rsid w:val="00202F7C"/>
    <w:rsid w:val="00213412"/>
    <w:rsid w:val="002173E2"/>
    <w:rsid w:val="00223B07"/>
    <w:rsid w:val="00254C5E"/>
    <w:rsid w:val="002E369B"/>
    <w:rsid w:val="00313C04"/>
    <w:rsid w:val="00326FCE"/>
    <w:rsid w:val="003361B6"/>
    <w:rsid w:val="0034016F"/>
    <w:rsid w:val="0035068B"/>
    <w:rsid w:val="00362E52"/>
    <w:rsid w:val="0036316E"/>
    <w:rsid w:val="00375615"/>
    <w:rsid w:val="00384483"/>
    <w:rsid w:val="003A0754"/>
    <w:rsid w:val="003A2439"/>
    <w:rsid w:val="003A4FC7"/>
    <w:rsid w:val="004031FC"/>
    <w:rsid w:val="00420E47"/>
    <w:rsid w:val="00446A13"/>
    <w:rsid w:val="00496457"/>
    <w:rsid w:val="004A2FD7"/>
    <w:rsid w:val="004B4BC1"/>
    <w:rsid w:val="004C6496"/>
    <w:rsid w:val="004C78A6"/>
    <w:rsid w:val="004F77D2"/>
    <w:rsid w:val="00504E54"/>
    <w:rsid w:val="005173A0"/>
    <w:rsid w:val="00580FC6"/>
    <w:rsid w:val="00586466"/>
    <w:rsid w:val="005A1CB6"/>
    <w:rsid w:val="005A5C82"/>
    <w:rsid w:val="005C10D5"/>
    <w:rsid w:val="005D03A7"/>
    <w:rsid w:val="006226B7"/>
    <w:rsid w:val="00633C8D"/>
    <w:rsid w:val="00662FDD"/>
    <w:rsid w:val="00671FF6"/>
    <w:rsid w:val="006904C1"/>
    <w:rsid w:val="006A1E39"/>
    <w:rsid w:val="006B151D"/>
    <w:rsid w:val="006C4954"/>
    <w:rsid w:val="006D2E5F"/>
    <w:rsid w:val="006F1EE5"/>
    <w:rsid w:val="0070643D"/>
    <w:rsid w:val="007120BA"/>
    <w:rsid w:val="00720CFB"/>
    <w:rsid w:val="00721336"/>
    <w:rsid w:val="00721E15"/>
    <w:rsid w:val="00755735"/>
    <w:rsid w:val="00771BD1"/>
    <w:rsid w:val="007D0D35"/>
    <w:rsid w:val="007E4265"/>
    <w:rsid w:val="007F331A"/>
    <w:rsid w:val="007F6F09"/>
    <w:rsid w:val="00810389"/>
    <w:rsid w:val="008306D2"/>
    <w:rsid w:val="008333D7"/>
    <w:rsid w:val="008340E5"/>
    <w:rsid w:val="00841AAA"/>
    <w:rsid w:val="00865C3A"/>
    <w:rsid w:val="0086675B"/>
    <w:rsid w:val="008C4877"/>
    <w:rsid w:val="008D2857"/>
    <w:rsid w:val="008D5351"/>
    <w:rsid w:val="00900728"/>
    <w:rsid w:val="009024D0"/>
    <w:rsid w:val="00945D94"/>
    <w:rsid w:val="009834A2"/>
    <w:rsid w:val="009F17E4"/>
    <w:rsid w:val="00A10F45"/>
    <w:rsid w:val="00A1368D"/>
    <w:rsid w:val="00A242AC"/>
    <w:rsid w:val="00A62859"/>
    <w:rsid w:val="00A74165"/>
    <w:rsid w:val="00A8324D"/>
    <w:rsid w:val="00AE0741"/>
    <w:rsid w:val="00AE329A"/>
    <w:rsid w:val="00B125BC"/>
    <w:rsid w:val="00B33D8C"/>
    <w:rsid w:val="00B37E91"/>
    <w:rsid w:val="00B40F35"/>
    <w:rsid w:val="00B619AA"/>
    <w:rsid w:val="00BA029D"/>
    <w:rsid w:val="00BE7514"/>
    <w:rsid w:val="00C00E25"/>
    <w:rsid w:val="00C039BF"/>
    <w:rsid w:val="00C10AD4"/>
    <w:rsid w:val="00C1773B"/>
    <w:rsid w:val="00C3032E"/>
    <w:rsid w:val="00C76B99"/>
    <w:rsid w:val="00CA1890"/>
    <w:rsid w:val="00CD021B"/>
    <w:rsid w:val="00CD56F6"/>
    <w:rsid w:val="00CD5EA1"/>
    <w:rsid w:val="00D438D0"/>
    <w:rsid w:val="00D76D78"/>
    <w:rsid w:val="00D83331"/>
    <w:rsid w:val="00D9517B"/>
    <w:rsid w:val="00DA2085"/>
    <w:rsid w:val="00DA73D5"/>
    <w:rsid w:val="00DE1E98"/>
    <w:rsid w:val="00E03954"/>
    <w:rsid w:val="00E24F64"/>
    <w:rsid w:val="00E32ACB"/>
    <w:rsid w:val="00E535B6"/>
    <w:rsid w:val="00E6486C"/>
    <w:rsid w:val="00EA6887"/>
    <w:rsid w:val="00EC3493"/>
    <w:rsid w:val="00EF0595"/>
    <w:rsid w:val="00EF4067"/>
    <w:rsid w:val="00F33B46"/>
    <w:rsid w:val="00F52588"/>
    <w:rsid w:val="00F678AA"/>
    <w:rsid w:val="00FB493E"/>
    <w:rsid w:val="00FB580B"/>
    <w:rsid w:val="00FC0754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F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42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D5"/>
    <w:pPr>
      <w:ind w:left="720"/>
      <w:contextualSpacing/>
    </w:pPr>
  </w:style>
  <w:style w:type="paragraph" w:styleId="PlainText">
    <w:name w:val="Plain Text"/>
    <w:basedOn w:val="Normal"/>
    <w:link w:val="PlainTextChar"/>
    <w:rsid w:val="009024D0"/>
    <w:rPr>
      <w:rFonts w:ascii="Courier New" w:eastAsia="Times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024D0"/>
    <w:rPr>
      <w:rFonts w:ascii="Courier New" w:eastAsia="Times" w:hAnsi="Courier New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07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265"/>
    <w:rPr>
      <w:rFonts w:ascii="Times" w:hAnsi="Times"/>
      <w:b/>
      <w:bCs/>
      <w:sz w:val="36"/>
      <w:szCs w:val="36"/>
      <w:lang w:val="en-AU" w:eastAsia="en-US"/>
    </w:rPr>
  </w:style>
  <w:style w:type="paragraph" w:styleId="NoSpacing">
    <w:name w:val="No Spacing"/>
    <w:uiPriority w:val="1"/>
    <w:qFormat/>
    <w:rsid w:val="006D2E5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2F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E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42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D5"/>
    <w:pPr>
      <w:ind w:left="720"/>
      <w:contextualSpacing/>
    </w:pPr>
  </w:style>
  <w:style w:type="paragraph" w:styleId="PlainText">
    <w:name w:val="Plain Text"/>
    <w:basedOn w:val="Normal"/>
    <w:link w:val="PlainTextChar"/>
    <w:rsid w:val="009024D0"/>
    <w:rPr>
      <w:rFonts w:ascii="Courier New" w:eastAsia="Times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024D0"/>
    <w:rPr>
      <w:rFonts w:ascii="Courier New" w:eastAsia="Times" w:hAnsi="Courier New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007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265"/>
    <w:rPr>
      <w:rFonts w:ascii="Times" w:hAnsi="Times"/>
      <w:b/>
      <w:bCs/>
      <w:sz w:val="36"/>
      <w:szCs w:val="36"/>
      <w:lang w:val="en-AU" w:eastAsia="en-US"/>
    </w:rPr>
  </w:style>
  <w:style w:type="paragraph" w:styleId="NoSpacing">
    <w:name w:val="No Spacing"/>
    <w:uiPriority w:val="1"/>
    <w:qFormat/>
    <w:rsid w:val="006D2E5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2F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E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c.justice.nsw.gov.au/agdbasev7wr/_assets/lec/m420301l721754/preston_ongoing%20reforms%20of%20practice%20and%20procedure.pdf" TargetMode="External"/><Relationship Id="rId20" Type="http://schemas.openxmlformats.org/officeDocument/2006/relationships/hyperlink" Target="http://www.austlii.edu.au/cgi-bin/sinodisp/au/cases/vic/VCAT/2003/1804.html" TargetMode="External"/><Relationship Id="rId21" Type="http://schemas.openxmlformats.org/officeDocument/2006/relationships/hyperlink" Target="http://www.sciencedirect.com/science/journal/03059006/63/3" TargetMode="External"/><Relationship Id="rId22" Type="http://schemas.openxmlformats.org/officeDocument/2006/relationships/hyperlink" Target="http://trove.nla.gov.au/work/5744476" TargetMode="External"/><Relationship Id="rId23" Type="http://schemas.openxmlformats.org/officeDocument/2006/relationships/hyperlink" Target="http://www.vcat.vic.gov.au/help-faqs/electronic-devices-vcat-hearing-rooms" TargetMode="External"/><Relationship Id="rId24" Type="http://schemas.openxmlformats.org/officeDocument/2006/relationships/hyperlink" Target="http://www.theage.com.au/victoria/planning-disputes-at-vcat-plummet-on-the-back-of-fees-hike-20140918-10iuho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lec.justice.nsw.gov.au/agdbasev7wr/_assets/lec/m420301l711808/expert%20evidence%20in%20the%20land%20and%20environment%20court%20v2.pdf" TargetMode="External"/><Relationship Id="rId11" Type="http://schemas.openxmlformats.org/officeDocument/2006/relationships/hyperlink" Target="http://www.austlii.edu.au/cgi-bin/sinodisp/au/cases/vic/VCAT/2009/2357.html" TargetMode="External"/><Relationship Id="rId12" Type="http://schemas.openxmlformats.org/officeDocument/2006/relationships/hyperlink" Target="http://sos.asn.au/vic/wp-content/uploads/2015/02/Whitney-1-Local-Policy.pdf" TargetMode="External"/><Relationship Id="rId13" Type="http://schemas.openxmlformats.org/officeDocument/2006/relationships/hyperlink" Target="http://www.tandfonline.com/doi/abs/10.1080/07293682.1997.9657733" TargetMode="External"/><Relationship Id="rId14" Type="http://schemas.openxmlformats.org/officeDocument/2006/relationships/hyperlink" Target="http://www.audit.vic.gov.au/reports__publications/reports_by_year/2008/20080507_land_use_and_devt.aspx" TargetMode="External"/><Relationship Id="rId15" Type="http://schemas.openxmlformats.org/officeDocument/2006/relationships/hyperlink" Target="http://www.icac.nsw.gov.au/documents/doc_download/3867-anti-corruption-safeguards-and-the-nsw-planning-system-2012" TargetMode="External"/><Relationship Id="rId16" Type="http://schemas.openxmlformats.org/officeDocument/2006/relationships/hyperlink" Target="http://www.google.com.au/url?sa=t&amp;rct=j&amp;q=&amp;esrc=s&amp;source=web&amp;cd=2&amp;ved=0CCAQFjAB&amp;url=http%3A%2F%2Fplanning-enforcement.com%2Fdoc%2FSUBMISSION_VICTORIAN_PLANNING_SYSTEM_REVIEW_%25283%2529.doc&amp;ei=N0HlVPrGEI7v8gWGx4H4DA&amp;usg=AFQjCNEVeydpa58Cq-cPrAGSfdZTWfqPRQ&amp;sig2=JmUXNv5smBYVl-Hefu5eDQ" TargetMode="External"/><Relationship Id="rId17" Type="http://schemas.openxmlformats.org/officeDocument/2006/relationships/hyperlink" Target="http://sos.asn.au/vic/wp-content/uploads/2015/02/Whitney-3-Enforcement.pdf" TargetMode="External"/><Relationship Id="rId18" Type="http://schemas.openxmlformats.org/officeDocument/2006/relationships/hyperlink" Target="http://www.lawsociety.com.au/cs/groups/public/documents/internetyounglawyers/026378.pdf" TargetMode="External"/><Relationship Id="rId19" Type="http://schemas.openxmlformats.org/officeDocument/2006/relationships/hyperlink" Target="http://www.austlii.edu.au/cgi-bin/sinodisp/au/cases/vic/VCAT/2000/672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s.asn.au/vic/wp-content/uploads/2015/02/Whitney-2-Amend-Plans.pdf" TargetMode="External"/><Relationship Id="rId7" Type="http://schemas.openxmlformats.org/officeDocument/2006/relationships/hyperlink" Target="http://www.theage.com.au/national/vcat-chief-admits-faults-calls-for-overhaul-20090811-egz3.html" TargetMode="External"/><Relationship Id="rId8" Type="http://schemas.openxmlformats.org/officeDocument/2006/relationships/hyperlink" Target="http://www.lawreform.vic.gov.au/projects/civil-justice/civil-justice-review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2595</Words>
  <Characters>14792</Characters>
  <Application>Microsoft Macintosh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2013-11-20T08:27:00Z</cp:lastPrinted>
  <dcterms:created xsi:type="dcterms:W3CDTF">2015-04-06T16:45:00Z</dcterms:created>
  <dcterms:modified xsi:type="dcterms:W3CDTF">2015-04-13T12:30:00Z</dcterms:modified>
</cp:coreProperties>
</file>